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65" w:rsidRPr="00B552BA" w:rsidRDefault="00E72AEA" w:rsidP="00D718B6">
      <w:pPr>
        <w:spacing w:after="0" w:line="240" w:lineRule="auto"/>
        <w:jc w:val="center"/>
        <w:rPr>
          <w:rFonts w:ascii="Times New Roman" w:hAnsi="Times New Roman" w:cs="Times New Roman"/>
          <w:b/>
          <w:sz w:val="24"/>
          <w:szCs w:val="24"/>
          <w:lang w:val="en-GB"/>
        </w:rPr>
      </w:pPr>
      <w:r w:rsidRPr="00B552BA">
        <w:rPr>
          <w:rFonts w:ascii="Times New Roman" w:hAnsi="Times New Roman" w:cs="Times New Roman"/>
          <w:b/>
          <w:sz w:val="24"/>
          <w:szCs w:val="24"/>
          <w:lang w:val="en-GB"/>
        </w:rPr>
        <w:t>Everything Is Relative, E</w:t>
      </w:r>
      <w:r w:rsidR="003E401C" w:rsidRPr="00B552BA">
        <w:rPr>
          <w:rFonts w:ascii="Times New Roman" w:hAnsi="Times New Roman" w:cs="Times New Roman"/>
          <w:b/>
          <w:sz w:val="24"/>
          <w:szCs w:val="24"/>
          <w:lang w:val="en-GB"/>
        </w:rPr>
        <w:t xml:space="preserve">ven </w:t>
      </w:r>
      <w:r w:rsidR="007D0A65" w:rsidRPr="00B552BA">
        <w:rPr>
          <w:rFonts w:ascii="Times New Roman" w:hAnsi="Times New Roman" w:cs="Times New Roman"/>
          <w:b/>
          <w:sz w:val="24"/>
          <w:szCs w:val="24"/>
          <w:lang w:val="en-GB"/>
        </w:rPr>
        <w:t>Gravity</w:t>
      </w:r>
      <w:r w:rsidR="00097446" w:rsidRPr="00B552BA">
        <w:rPr>
          <w:rFonts w:ascii="Times New Roman" w:hAnsi="Times New Roman" w:cs="Times New Roman"/>
          <w:b/>
          <w:sz w:val="24"/>
          <w:szCs w:val="24"/>
          <w:lang w:val="en-GB"/>
        </w:rPr>
        <w:t>:</w:t>
      </w:r>
      <w:r w:rsidR="003E401C" w:rsidRPr="00B552BA">
        <w:rPr>
          <w:rFonts w:ascii="Times New Roman" w:hAnsi="Times New Roman" w:cs="Times New Roman"/>
          <w:b/>
          <w:sz w:val="24"/>
          <w:szCs w:val="24"/>
          <w:lang w:val="en-GB"/>
        </w:rPr>
        <w:t xml:space="preserve"> R</w:t>
      </w:r>
      <w:r w:rsidRPr="00B552BA">
        <w:rPr>
          <w:rFonts w:ascii="Times New Roman" w:hAnsi="Times New Roman" w:cs="Times New Roman"/>
          <w:b/>
          <w:sz w:val="24"/>
          <w:szCs w:val="24"/>
          <w:lang w:val="en-GB"/>
        </w:rPr>
        <w:t xml:space="preserve">emarks on the </w:t>
      </w:r>
      <w:r w:rsidR="00F4341A" w:rsidRPr="00B552BA">
        <w:rPr>
          <w:rFonts w:ascii="Times New Roman" w:hAnsi="Times New Roman" w:cs="Times New Roman"/>
          <w:b/>
          <w:sz w:val="24"/>
          <w:szCs w:val="24"/>
          <w:lang w:val="en-GB"/>
        </w:rPr>
        <w:t xml:space="preserve">Assessment of </w:t>
      </w:r>
      <w:r w:rsidRPr="00B552BA">
        <w:rPr>
          <w:rFonts w:ascii="Times New Roman" w:hAnsi="Times New Roman" w:cs="Times New Roman"/>
          <w:b/>
          <w:sz w:val="24"/>
          <w:szCs w:val="24"/>
          <w:lang w:val="en-GB"/>
        </w:rPr>
        <w:t>Gravity</w:t>
      </w:r>
      <w:r w:rsidR="00F4341A" w:rsidRPr="00B552BA">
        <w:rPr>
          <w:rFonts w:ascii="Times New Roman" w:hAnsi="Times New Roman" w:cs="Times New Roman"/>
          <w:b/>
          <w:sz w:val="24"/>
          <w:szCs w:val="24"/>
          <w:lang w:val="en-GB"/>
        </w:rPr>
        <w:t xml:space="preserve"> in ICC Preliminary Examinations</w:t>
      </w:r>
      <w:r w:rsidR="00D5122C" w:rsidRPr="00B552BA">
        <w:rPr>
          <w:rFonts w:ascii="Times New Roman" w:hAnsi="Times New Roman" w:cs="Times New Roman"/>
          <w:b/>
          <w:sz w:val="24"/>
          <w:szCs w:val="24"/>
          <w:lang w:val="en-GB"/>
        </w:rPr>
        <w:t>,</w:t>
      </w:r>
      <w:r w:rsidR="00F4341A" w:rsidRPr="00B552BA">
        <w:rPr>
          <w:rFonts w:ascii="Times New Roman" w:hAnsi="Times New Roman" w:cs="Times New Roman"/>
          <w:b/>
          <w:sz w:val="24"/>
          <w:szCs w:val="24"/>
          <w:lang w:val="en-GB"/>
        </w:rPr>
        <w:t xml:space="preserve"> and</w:t>
      </w:r>
      <w:r w:rsidR="007D0A65" w:rsidRPr="00B552BA">
        <w:rPr>
          <w:rFonts w:ascii="Times New Roman" w:hAnsi="Times New Roman" w:cs="Times New Roman"/>
          <w:b/>
          <w:sz w:val="24"/>
          <w:szCs w:val="24"/>
          <w:lang w:val="en-GB"/>
        </w:rPr>
        <w:t xml:space="preserve"> the </w:t>
      </w:r>
      <w:r w:rsidR="007D0A65" w:rsidRPr="00B552BA">
        <w:rPr>
          <w:rFonts w:ascii="Times New Roman" w:hAnsi="Times New Roman" w:cs="Times New Roman"/>
          <w:b/>
          <w:i/>
          <w:sz w:val="24"/>
          <w:szCs w:val="24"/>
          <w:lang w:val="en-GB"/>
        </w:rPr>
        <w:t>Mavi Marmara</w:t>
      </w:r>
      <w:r w:rsidRPr="00B552BA">
        <w:rPr>
          <w:rFonts w:ascii="Times New Roman" w:hAnsi="Times New Roman" w:cs="Times New Roman"/>
          <w:b/>
          <w:sz w:val="24"/>
          <w:szCs w:val="24"/>
          <w:lang w:val="en-GB"/>
        </w:rPr>
        <w:t xml:space="preserve"> </w:t>
      </w:r>
      <w:r w:rsidR="00997F6C">
        <w:rPr>
          <w:rFonts w:ascii="Times New Roman" w:hAnsi="Times New Roman" w:cs="Times New Roman"/>
          <w:b/>
          <w:sz w:val="24"/>
          <w:szCs w:val="24"/>
          <w:lang w:val="en-GB"/>
        </w:rPr>
        <w:t>A</w:t>
      </w:r>
      <w:r w:rsidR="00F4341A" w:rsidRPr="00B552BA">
        <w:rPr>
          <w:rFonts w:ascii="Times New Roman" w:hAnsi="Times New Roman" w:cs="Times New Roman"/>
          <w:b/>
          <w:sz w:val="24"/>
          <w:szCs w:val="24"/>
          <w:lang w:val="en-GB"/>
        </w:rPr>
        <w:t>ffair</w:t>
      </w:r>
      <w:r w:rsidR="00AA36D1">
        <w:rPr>
          <w:rStyle w:val="Rimandocommento"/>
        </w:rPr>
        <w:commentReference w:id="0"/>
      </w:r>
      <w:r w:rsidRPr="00B552BA">
        <w:rPr>
          <w:rFonts w:ascii="Times New Roman" w:hAnsi="Times New Roman" w:cs="Times New Roman"/>
          <w:b/>
          <w:sz w:val="24"/>
          <w:szCs w:val="24"/>
          <w:lang w:val="en-GB"/>
        </w:rPr>
        <w:t xml:space="preserve"> </w:t>
      </w:r>
    </w:p>
    <w:p w:rsidR="0090118B" w:rsidRPr="00B552BA" w:rsidRDefault="0090118B" w:rsidP="00D718B6">
      <w:pPr>
        <w:spacing w:after="0" w:line="240" w:lineRule="auto"/>
        <w:jc w:val="center"/>
        <w:rPr>
          <w:rFonts w:ascii="Times New Roman" w:hAnsi="Times New Roman" w:cs="Times New Roman"/>
          <w:b/>
          <w:sz w:val="24"/>
          <w:szCs w:val="24"/>
          <w:lang w:val="en-GB"/>
        </w:rPr>
      </w:pPr>
    </w:p>
    <w:p w:rsidR="007D0A65" w:rsidRPr="00B552BA" w:rsidRDefault="007D0A65" w:rsidP="00D718B6">
      <w:pPr>
        <w:spacing w:after="0" w:line="240" w:lineRule="auto"/>
        <w:jc w:val="center"/>
        <w:rPr>
          <w:rFonts w:ascii="Times New Roman" w:hAnsi="Times New Roman" w:cs="Times New Roman"/>
          <w:sz w:val="24"/>
          <w:szCs w:val="24"/>
          <w:lang w:val="en-GB"/>
        </w:rPr>
      </w:pPr>
      <w:r w:rsidRPr="00B552BA">
        <w:rPr>
          <w:rFonts w:ascii="Times New Roman" w:hAnsi="Times New Roman" w:cs="Times New Roman"/>
          <w:sz w:val="24"/>
          <w:szCs w:val="24"/>
          <w:lang w:val="en-GB"/>
        </w:rPr>
        <w:t>Marco Longobardo</w:t>
      </w:r>
      <w:r w:rsidR="00B36E86" w:rsidRPr="00B552BA">
        <w:rPr>
          <w:rStyle w:val="Rimandonotaapidipagina"/>
          <w:rFonts w:ascii="Times New Roman" w:hAnsi="Times New Roman" w:cs="Times New Roman"/>
          <w:sz w:val="24"/>
          <w:szCs w:val="24"/>
          <w:lang w:val="en-GB"/>
        </w:rPr>
        <w:footnoteReference w:customMarkFollows="1" w:id="2"/>
        <w:t>*</w:t>
      </w:r>
    </w:p>
    <w:p w:rsidR="00187A90" w:rsidRPr="00B552BA" w:rsidRDefault="00187A90" w:rsidP="00187A90">
      <w:pPr>
        <w:spacing w:after="0" w:line="240" w:lineRule="auto"/>
        <w:rPr>
          <w:rFonts w:ascii="Times New Roman" w:hAnsi="Times New Roman" w:cs="Times New Roman"/>
          <w:sz w:val="24"/>
          <w:szCs w:val="24"/>
          <w:lang w:val="en-GB"/>
        </w:rPr>
      </w:pPr>
    </w:p>
    <w:p w:rsidR="006E70E4" w:rsidRPr="00B552BA" w:rsidRDefault="007D0A65" w:rsidP="00187A90">
      <w:pPr>
        <w:spacing w:after="0" w:line="240" w:lineRule="auto"/>
        <w:jc w:val="both"/>
        <w:rPr>
          <w:rFonts w:ascii="Times New Roman" w:hAnsi="Times New Roman" w:cs="Times New Roman"/>
          <w:b/>
          <w:sz w:val="24"/>
          <w:szCs w:val="24"/>
          <w:lang w:val="en-GB"/>
        </w:rPr>
      </w:pPr>
      <w:r w:rsidRPr="00B552BA">
        <w:rPr>
          <w:rFonts w:ascii="Times New Roman" w:hAnsi="Times New Roman" w:cs="Times New Roman"/>
          <w:b/>
          <w:sz w:val="24"/>
          <w:szCs w:val="24"/>
          <w:lang w:val="en-GB"/>
        </w:rPr>
        <w:t>Abstract</w:t>
      </w:r>
    </w:p>
    <w:p w:rsidR="006E729E" w:rsidRPr="00B552BA" w:rsidRDefault="006E729E" w:rsidP="006E729E">
      <w:pPr>
        <w:spacing w:after="0" w:line="240" w:lineRule="auto"/>
        <w:jc w:val="both"/>
        <w:rPr>
          <w:rFonts w:ascii="Times New Roman" w:hAnsi="Times New Roman" w:cs="Times New Roman"/>
          <w:i/>
          <w:lang w:val="en-GB"/>
        </w:rPr>
      </w:pPr>
      <w:r w:rsidRPr="00B552BA">
        <w:rPr>
          <w:rFonts w:ascii="Times New Roman" w:hAnsi="Times New Roman" w:cs="Times New Roman"/>
          <w:i/>
          <w:lang w:val="en-GB"/>
        </w:rPr>
        <w:t xml:space="preserve">In 2014, the Office of the Prosecutor of the International Criminal Court found that </w:t>
      </w:r>
      <w:r>
        <w:rPr>
          <w:rFonts w:ascii="Times New Roman" w:hAnsi="Times New Roman" w:cs="Times New Roman"/>
          <w:i/>
          <w:lang w:val="en-GB"/>
        </w:rPr>
        <w:t>war</w:t>
      </w:r>
      <w:r w:rsidRPr="00B552BA">
        <w:rPr>
          <w:rFonts w:ascii="Times New Roman" w:hAnsi="Times New Roman" w:cs="Times New Roman"/>
          <w:i/>
          <w:lang w:val="en-GB"/>
        </w:rPr>
        <w:t xml:space="preserve"> crimes allegedly committed </w:t>
      </w:r>
      <w:r>
        <w:rPr>
          <w:rFonts w:ascii="Times New Roman" w:hAnsi="Times New Roman" w:cs="Times New Roman"/>
          <w:i/>
          <w:lang w:val="en-GB"/>
        </w:rPr>
        <w:t xml:space="preserve">during the 2010 interception and boarding of the Comorian-registered </w:t>
      </w:r>
      <w:r>
        <w:rPr>
          <w:rFonts w:ascii="Times New Roman" w:hAnsi="Times New Roman" w:cs="Times New Roman"/>
          <w:lang w:val="en-GB"/>
        </w:rPr>
        <w:t>Mavi Marmara</w:t>
      </w:r>
      <w:r>
        <w:rPr>
          <w:rFonts w:ascii="Times New Roman" w:hAnsi="Times New Roman" w:cs="Times New Roman"/>
          <w:i/>
          <w:lang w:val="en-GB"/>
        </w:rPr>
        <w:t xml:space="preserve">, off the coast of Gaza, </w:t>
      </w:r>
      <w:r w:rsidRPr="00B552BA">
        <w:rPr>
          <w:rFonts w:ascii="Times New Roman" w:hAnsi="Times New Roman" w:cs="Times New Roman"/>
          <w:i/>
          <w:lang w:val="en-GB"/>
        </w:rPr>
        <w:t xml:space="preserve">were of </w:t>
      </w:r>
      <w:r>
        <w:rPr>
          <w:rFonts w:ascii="Times New Roman" w:hAnsi="Times New Roman" w:cs="Times New Roman"/>
          <w:i/>
          <w:lang w:val="en-GB"/>
        </w:rPr>
        <w:t>in</w:t>
      </w:r>
      <w:r w:rsidRPr="00B552BA">
        <w:rPr>
          <w:rFonts w:ascii="Times New Roman" w:hAnsi="Times New Roman" w:cs="Times New Roman"/>
          <w:i/>
          <w:lang w:val="en-GB"/>
        </w:rPr>
        <w:t>sufficient gravity to initiate an investigation. Th</w:t>
      </w:r>
      <w:r>
        <w:rPr>
          <w:rFonts w:ascii="Times New Roman" w:hAnsi="Times New Roman" w:cs="Times New Roman"/>
          <w:i/>
          <w:lang w:val="en-GB"/>
        </w:rPr>
        <w:t>e</w:t>
      </w:r>
      <w:r w:rsidRPr="00B552BA">
        <w:rPr>
          <w:rFonts w:ascii="Times New Roman" w:hAnsi="Times New Roman" w:cs="Times New Roman"/>
          <w:i/>
          <w:lang w:val="en-GB"/>
        </w:rPr>
        <w:t xml:space="preserve"> Union of the Comoros </w:t>
      </w:r>
      <w:r>
        <w:rPr>
          <w:rFonts w:ascii="Times New Roman" w:hAnsi="Times New Roman" w:cs="Times New Roman"/>
          <w:i/>
          <w:lang w:val="en-GB"/>
        </w:rPr>
        <w:t>sought</w:t>
      </w:r>
      <w:r w:rsidRPr="00B552BA">
        <w:rPr>
          <w:rFonts w:ascii="Times New Roman" w:hAnsi="Times New Roman" w:cs="Times New Roman"/>
          <w:i/>
          <w:lang w:val="en-GB"/>
        </w:rPr>
        <w:t xml:space="preserve"> review</w:t>
      </w:r>
      <w:r>
        <w:rPr>
          <w:rFonts w:ascii="Times New Roman" w:hAnsi="Times New Roman" w:cs="Times New Roman"/>
          <w:i/>
          <w:lang w:val="en-GB"/>
        </w:rPr>
        <w:t xml:space="preserve"> of this decision by Pre-Trial Chamber I, which concluded</w:t>
      </w:r>
      <w:r w:rsidRPr="00B552BA">
        <w:rPr>
          <w:rFonts w:ascii="Times New Roman" w:hAnsi="Times New Roman" w:cs="Times New Roman"/>
          <w:i/>
          <w:lang w:val="en-GB"/>
        </w:rPr>
        <w:t xml:space="preserve"> that the gravity </w:t>
      </w:r>
      <w:r>
        <w:rPr>
          <w:rFonts w:ascii="Times New Roman" w:hAnsi="Times New Roman" w:cs="Times New Roman"/>
          <w:i/>
          <w:lang w:val="en-GB"/>
        </w:rPr>
        <w:t>evaluation was incorrect and requested the Prosecutor to reconsider her decision</w:t>
      </w:r>
      <w:r w:rsidRPr="00B552BA">
        <w:rPr>
          <w:rFonts w:ascii="Times New Roman" w:hAnsi="Times New Roman" w:cs="Times New Roman"/>
          <w:i/>
          <w:lang w:val="en-GB"/>
        </w:rPr>
        <w:t>. Th</w:t>
      </w:r>
      <w:r>
        <w:rPr>
          <w:rFonts w:ascii="Times New Roman" w:hAnsi="Times New Roman" w:cs="Times New Roman"/>
          <w:i/>
          <w:lang w:val="en-GB"/>
        </w:rPr>
        <w:t>is</w:t>
      </w:r>
      <w:r w:rsidRPr="00B552BA">
        <w:rPr>
          <w:rFonts w:ascii="Times New Roman" w:hAnsi="Times New Roman" w:cs="Times New Roman"/>
          <w:i/>
          <w:lang w:val="en-GB"/>
        </w:rPr>
        <w:t xml:space="preserve"> essay explores the </w:t>
      </w:r>
      <w:r>
        <w:rPr>
          <w:rFonts w:ascii="Times New Roman" w:hAnsi="Times New Roman" w:cs="Times New Roman"/>
          <w:i/>
          <w:lang w:val="en-GB"/>
        </w:rPr>
        <w:t>two approaches taken to</w:t>
      </w:r>
      <w:r w:rsidRPr="00B552BA">
        <w:rPr>
          <w:rFonts w:ascii="Times New Roman" w:hAnsi="Times New Roman" w:cs="Times New Roman"/>
          <w:i/>
          <w:lang w:val="en-GB"/>
        </w:rPr>
        <w:t xml:space="preserve"> gravity</w:t>
      </w:r>
      <w:r>
        <w:rPr>
          <w:rFonts w:ascii="Times New Roman" w:hAnsi="Times New Roman" w:cs="Times New Roman"/>
          <w:i/>
          <w:lang w:val="en-GB"/>
        </w:rPr>
        <w:t xml:space="preserve"> assessment, and </w:t>
      </w:r>
      <w:r w:rsidRPr="00B552BA">
        <w:rPr>
          <w:rFonts w:ascii="Times New Roman" w:hAnsi="Times New Roman" w:cs="Times New Roman"/>
          <w:i/>
          <w:lang w:val="en-GB"/>
        </w:rPr>
        <w:t>advance</w:t>
      </w:r>
      <w:r>
        <w:rPr>
          <w:rFonts w:ascii="Times New Roman" w:hAnsi="Times New Roman" w:cs="Times New Roman"/>
          <w:i/>
          <w:lang w:val="en-GB"/>
        </w:rPr>
        <w:t>s</w:t>
      </w:r>
      <w:r w:rsidRPr="00B552BA">
        <w:rPr>
          <w:rFonts w:ascii="Times New Roman" w:hAnsi="Times New Roman" w:cs="Times New Roman"/>
          <w:i/>
          <w:lang w:val="en-GB"/>
        </w:rPr>
        <w:t xml:space="preserve"> </w:t>
      </w:r>
      <w:r>
        <w:rPr>
          <w:rFonts w:ascii="Times New Roman" w:hAnsi="Times New Roman" w:cs="Times New Roman"/>
          <w:i/>
          <w:lang w:val="en-GB"/>
        </w:rPr>
        <w:t xml:space="preserve">an alternative view </w:t>
      </w:r>
      <w:r w:rsidRPr="00B552BA">
        <w:rPr>
          <w:rFonts w:ascii="Times New Roman" w:hAnsi="Times New Roman" w:cs="Times New Roman"/>
          <w:i/>
          <w:lang w:val="en-GB"/>
        </w:rPr>
        <w:t xml:space="preserve">based on the need to </w:t>
      </w:r>
      <w:r>
        <w:rPr>
          <w:rFonts w:ascii="Times New Roman" w:hAnsi="Times New Roman" w:cs="Times New Roman"/>
          <w:i/>
          <w:lang w:val="en-GB"/>
        </w:rPr>
        <w:t>take into account the relevant factual circumstances</w:t>
      </w:r>
      <w:r w:rsidR="00406BA0">
        <w:rPr>
          <w:rFonts w:ascii="Times New Roman" w:hAnsi="Times New Roman" w:cs="Times New Roman"/>
          <w:i/>
          <w:lang w:val="en-GB"/>
        </w:rPr>
        <w:t xml:space="preserve"> </w:t>
      </w:r>
      <w:r>
        <w:rPr>
          <w:rFonts w:ascii="Times New Roman" w:hAnsi="Times New Roman" w:cs="Times New Roman"/>
          <w:i/>
          <w:lang w:val="en-GB"/>
        </w:rPr>
        <w:t>—</w:t>
      </w:r>
      <w:r w:rsidR="00406BA0">
        <w:rPr>
          <w:rFonts w:ascii="Times New Roman" w:hAnsi="Times New Roman" w:cs="Times New Roman"/>
          <w:i/>
          <w:lang w:val="en-GB"/>
        </w:rPr>
        <w:t xml:space="preserve"> </w:t>
      </w:r>
      <w:r>
        <w:rPr>
          <w:rFonts w:ascii="Times New Roman" w:hAnsi="Times New Roman" w:cs="Times New Roman"/>
          <w:i/>
          <w:lang w:val="en-GB"/>
        </w:rPr>
        <w:t>in this case, crimes a</w:t>
      </w:r>
      <w:r w:rsidRPr="00B552BA">
        <w:rPr>
          <w:rFonts w:ascii="Times New Roman" w:hAnsi="Times New Roman" w:cs="Times New Roman"/>
          <w:i/>
          <w:lang w:val="en-GB"/>
        </w:rPr>
        <w:t xml:space="preserve">board a vessel. </w:t>
      </w:r>
    </w:p>
    <w:p w:rsidR="007D0A65" w:rsidRPr="00B552BA" w:rsidRDefault="007D0A65" w:rsidP="00D718B6">
      <w:pPr>
        <w:spacing w:after="0" w:line="240" w:lineRule="auto"/>
        <w:jc w:val="both"/>
        <w:rPr>
          <w:rFonts w:ascii="Times New Roman" w:hAnsi="Times New Roman" w:cs="Times New Roman"/>
          <w:sz w:val="20"/>
          <w:szCs w:val="20"/>
          <w:lang w:val="en-GB"/>
        </w:rPr>
      </w:pPr>
    </w:p>
    <w:p w:rsidR="001D3E5C" w:rsidRPr="00B552BA" w:rsidRDefault="001D3E5C" w:rsidP="00D718B6">
      <w:pPr>
        <w:spacing w:after="0" w:line="240" w:lineRule="auto"/>
        <w:jc w:val="right"/>
        <w:rPr>
          <w:rFonts w:ascii="Times New Roman" w:hAnsi="Times New Roman" w:cs="Times New Roman"/>
          <w:sz w:val="24"/>
          <w:szCs w:val="24"/>
          <w:lang w:val="en-GB"/>
        </w:rPr>
      </w:pPr>
      <w:r w:rsidRPr="00B552BA">
        <w:rPr>
          <w:rFonts w:ascii="Times New Roman" w:hAnsi="Times New Roman" w:cs="Times New Roman"/>
          <w:i/>
          <w:sz w:val="24"/>
          <w:szCs w:val="24"/>
          <w:lang w:val="en-GB"/>
        </w:rPr>
        <w:t>Nomina nuda tenemus</w:t>
      </w:r>
      <w:r w:rsidR="00E54D79" w:rsidRPr="00B552BA">
        <w:rPr>
          <w:rFonts w:ascii="Times New Roman" w:hAnsi="Times New Roman" w:cs="Times New Roman"/>
          <w:i/>
          <w:sz w:val="24"/>
          <w:szCs w:val="24"/>
          <w:lang w:val="en-GB"/>
        </w:rPr>
        <w:t>.</w:t>
      </w:r>
      <w:r w:rsidRPr="00B552BA">
        <w:rPr>
          <w:rStyle w:val="Rimandonotaapidipagina"/>
          <w:rFonts w:ascii="Times New Roman" w:hAnsi="Times New Roman" w:cs="Times New Roman"/>
          <w:sz w:val="24"/>
          <w:szCs w:val="24"/>
          <w:lang w:val="en-GB"/>
        </w:rPr>
        <w:footnoteReference w:id="3"/>
      </w:r>
    </w:p>
    <w:p w:rsidR="001D3E5C" w:rsidRPr="00B552BA" w:rsidRDefault="001D3E5C" w:rsidP="00D718B6">
      <w:pPr>
        <w:spacing w:after="0" w:line="240" w:lineRule="auto"/>
        <w:jc w:val="both"/>
        <w:rPr>
          <w:rFonts w:ascii="Times New Roman" w:hAnsi="Times New Roman" w:cs="Times New Roman"/>
          <w:sz w:val="24"/>
          <w:szCs w:val="24"/>
          <w:lang w:val="en-GB"/>
        </w:rPr>
      </w:pPr>
    </w:p>
    <w:p w:rsidR="00E43A16" w:rsidRPr="00FD1F6E" w:rsidRDefault="007D0A65" w:rsidP="00E43A16">
      <w:pPr>
        <w:pStyle w:val="Paragrafoelenco"/>
        <w:numPr>
          <w:ilvl w:val="0"/>
          <w:numId w:val="3"/>
        </w:numPr>
        <w:spacing w:after="0" w:line="360" w:lineRule="auto"/>
        <w:jc w:val="both"/>
        <w:rPr>
          <w:rFonts w:ascii="Times New Roman" w:hAnsi="Times New Roman" w:cs="Times New Roman"/>
          <w:b/>
          <w:sz w:val="24"/>
          <w:szCs w:val="24"/>
          <w:lang w:val="en-GB"/>
        </w:rPr>
      </w:pPr>
      <w:r w:rsidRPr="00B552BA">
        <w:rPr>
          <w:rFonts w:ascii="Times New Roman" w:hAnsi="Times New Roman" w:cs="Times New Roman"/>
          <w:b/>
          <w:sz w:val="24"/>
          <w:szCs w:val="24"/>
          <w:lang w:val="en-GB"/>
        </w:rPr>
        <w:t>Introductio</w:t>
      </w:r>
      <w:r w:rsidRPr="00FD1F6E">
        <w:rPr>
          <w:rFonts w:ascii="Times New Roman" w:hAnsi="Times New Roman" w:cs="Times New Roman"/>
          <w:b/>
          <w:sz w:val="24"/>
          <w:szCs w:val="24"/>
          <w:lang w:val="en-GB"/>
        </w:rPr>
        <w:t>n</w:t>
      </w:r>
    </w:p>
    <w:p w:rsidR="00E43A16" w:rsidRPr="00FD1F6E" w:rsidRDefault="00E43A16" w:rsidP="006E729E">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Potential cases before the International Criminal Court (</w:t>
      </w:r>
      <w:r w:rsidR="00C50F1B" w:rsidRPr="00FD1F6E">
        <w:rPr>
          <w:rFonts w:ascii="Times New Roman" w:hAnsi="Times New Roman" w:cs="Times New Roman"/>
          <w:sz w:val="24"/>
          <w:szCs w:val="24"/>
          <w:lang w:val="en-GB"/>
        </w:rPr>
        <w:t>‘</w:t>
      </w:r>
      <w:r w:rsidRPr="00FD1F6E">
        <w:rPr>
          <w:rFonts w:ascii="Times New Roman" w:hAnsi="Times New Roman" w:cs="Times New Roman"/>
          <w:sz w:val="24"/>
          <w:szCs w:val="24"/>
          <w:lang w:val="en-GB"/>
        </w:rPr>
        <w:t>ICC</w:t>
      </w:r>
      <w:r w:rsidR="00C50F1B" w:rsidRPr="00FD1F6E">
        <w:rPr>
          <w:rFonts w:ascii="Times New Roman" w:hAnsi="Times New Roman" w:cs="Times New Roman"/>
          <w:sz w:val="24"/>
          <w:szCs w:val="24"/>
          <w:lang w:val="en-GB"/>
        </w:rPr>
        <w:t>’) lead</w:t>
      </w:r>
      <w:r w:rsidRPr="00FD1F6E">
        <w:rPr>
          <w:rFonts w:ascii="Times New Roman" w:hAnsi="Times New Roman" w:cs="Times New Roman"/>
          <w:sz w:val="24"/>
          <w:szCs w:val="24"/>
          <w:lang w:val="en-GB"/>
        </w:rPr>
        <w:t xml:space="preserve"> to the opening of an investigation only if they meet </w:t>
      </w:r>
      <w:r w:rsidR="00F4341A" w:rsidRPr="00FD1F6E">
        <w:rPr>
          <w:rFonts w:ascii="Times New Roman" w:hAnsi="Times New Roman" w:cs="Times New Roman"/>
          <w:sz w:val="24"/>
          <w:szCs w:val="24"/>
          <w:lang w:val="en-GB"/>
        </w:rPr>
        <w:t>the</w:t>
      </w:r>
      <w:r w:rsidRPr="00FD1F6E">
        <w:rPr>
          <w:rFonts w:ascii="Times New Roman" w:hAnsi="Times New Roman" w:cs="Times New Roman"/>
          <w:sz w:val="24"/>
          <w:szCs w:val="24"/>
          <w:lang w:val="en-GB"/>
        </w:rPr>
        <w:t xml:space="preserve"> legal criteria envisaged by Article 53(1) of the </w:t>
      </w:r>
      <w:r w:rsidR="00C50F1B" w:rsidRPr="00FD1F6E">
        <w:rPr>
          <w:rFonts w:ascii="Times New Roman" w:hAnsi="Times New Roman" w:cs="Times New Roman"/>
          <w:sz w:val="24"/>
          <w:szCs w:val="24"/>
          <w:lang w:val="en-GB"/>
        </w:rPr>
        <w:t>Rome Statute of the International Criminal Court (‘ICC Statute’)</w:t>
      </w:r>
      <w:r w:rsidRPr="00FD1F6E">
        <w:rPr>
          <w:rFonts w:ascii="Times New Roman" w:hAnsi="Times New Roman" w:cs="Times New Roman"/>
          <w:sz w:val="24"/>
          <w:szCs w:val="24"/>
          <w:lang w:val="en-GB"/>
        </w:rPr>
        <w:t>. Th</w:t>
      </w:r>
      <w:r w:rsidR="006E729E">
        <w:rPr>
          <w:rFonts w:ascii="Times New Roman" w:hAnsi="Times New Roman" w:cs="Times New Roman"/>
          <w:sz w:val="24"/>
          <w:szCs w:val="24"/>
          <w:lang w:val="en-GB"/>
        </w:rPr>
        <w:t xml:space="preserve">is </w:t>
      </w:r>
      <w:r w:rsidRPr="00FD1F6E">
        <w:rPr>
          <w:rFonts w:ascii="Times New Roman" w:hAnsi="Times New Roman" w:cs="Times New Roman"/>
          <w:sz w:val="24"/>
          <w:szCs w:val="24"/>
          <w:lang w:val="en-GB"/>
        </w:rPr>
        <w:t xml:space="preserve">article explores the requirement of </w:t>
      </w:r>
      <w:r w:rsidR="006E729E">
        <w:rPr>
          <w:rFonts w:ascii="Times New Roman" w:hAnsi="Times New Roman" w:cs="Times New Roman"/>
          <w:sz w:val="24"/>
          <w:szCs w:val="24"/>
          <w:lang w:val="en-GB"/>
        </w:rPr>
        <w:t>‘</w:t>
      </w:r>
      <w:r w:rsidR="000C7DE1" w:rsidRPr="00FD1F6E">
        <w:rPr>
          <w:rFonts w:ascii="Times New Roman" w:hAnsi="Times New Roman" w:cs="Times New Roman"/>
          <w:sz w:val="24"/>
          <w:szCs w:val="24"/>
          <w:lang w:val="en-GB"/>
        </w:rPr>
        <w:t xml:space="preserve">sufficient </w:t>
      </w:r>
      <w:r w:rsidRPr="00FD1F6E">
        <w:rPr>
          <w:rFonts w:ascii="Times New Roman" w:hAnsi="Times New Roman" w:cs="Times New Roman"/>
          <w:sz w:val="24"/>
          <w:szCs w:val="24"/>
          <w:lang w:val="en-GB"/>
        </w:rPr>
        <w:t>gravity</w:t>
      </w:r>
      <w:r w:rsidR="006E729E">
        <w:rPr>
          <w:rFonts w:ascii="Times New Roman" w:hAnsi="Times New Roman" w:cs="Times New Roman"/>
          <w:sz w:val="24"/>
          <w:szCs w:val="24"/>
          <w:lang w:val="en-GB"/>
        </w:rPr>
        <w:t>’</w:t>
      </w:r>
      <w:r w:rsidR="00F4341A" w:rsidRPr="00FD1F6E">
        <w:rPr>
          <w:rFonts w:ascii="Times New Roman" w:hAnsi="Times New Roman" w:cs="Times New Roman"/>
          <w:sz w:val="24"/>
          <w:szCs w:val="24"/>
          <w:lang w:val="en-GB"/>
        </w:rPr>
        <w:t xml:space="preserve"> at the preliminary examination stage</w:t>
      </w:r>
      <w:r w:rsidRPr="00FD1F6E">
        <w:rPr>
          <w:rFonts w:ascii="Times New Roman" w:hAnsi="Times New Roman" w:cs="Times New Roman"/>
          <w:sz w:val="24"/>
          <w:szCs w:val="24"/>
          <w:lang w:val="en-GB"/>
        </w:rPr>
        <w:t xml:space="preserve"> in light of the </w:t>
      </w:r>
      <w:r w:rsidR="00F4341A" w:rsidRPr="00FD1F6E">
        <w:rPr>
          <w:rFonts w:ascii="Times New Roman" w:hAnsi="Times New Roman" w:cs="Times New Roman"/>
          <w:sz w:val="24"/>
          <w:szCs w:val="24"/>
          <w:lang w:val="en-GB"/>
        </w:rPr>
        <w:t>events aboard</w:t>
      </w:r>
      <w:r w:rsidRPr="00FD1F6E">
        <w:rPr>
          <w:rFonts w:ascii="Times New Roman" w:hAnsi="Times New Roman" w:cs="Times New Roman"/>
          <w:sz w:val="24"/>
          <w:szCs w:val="24"/>
          <w:lang w:val="en-GB"/>
        </w:rPr>
        <w:t xml:space="preserve"> the vessel </w:t>
      </w:r>
      <w:r w:rsidRPr="00FD1F6E">
        <w:rPr>
          <w:rFonts w:ascii="Times New Roman" w:hAnsi="Times New Roman" w:cs="Times New Roman"/>
          <w:i/>
          <w:sz w:val="24"/>
          <w:szCs w:val="24"/>
          <w:lang w:val="en-GB"/>
        </w:rPr>
        <w:t>Mavi Marmara</w:t>
      </w:r>
      <w:r w:rsidRPr="00FD1F6E">
        <w:rPr>
          <w:rFonts w:ascii="Times New Roman" w:hAnsi="Times New Roman" w:cs="Times New Roman"/>
          <w:sz w:val="24"/>
          <w:szCs w:val="24"/>
          <w:lang w:val="en-GB"/>
        </w:rPr>
        <w:t xml:space="preserve"> and the </w:t>
      </w:r>
      <w:r w:rsidR="00BD37E6" w:rsidRPr="00FD1F6E">
        <w:rPr>
          <w:rFonts w:ascii="Times New Roman" w:hAnsi="Times New Roman" w:cs="Times New Roman"/>
          <w:sz w:val="24"/>
          <w:szCs w:val="24"/>
          <w:lang w:val="en-GB"/>
        </w:rPr>
        <w:t>resulting</w:t>
      </w:r>
      <w:r w:rsidR="006E729E">
        <w:rPr>
          <w:rFonts w:ascii="Times New Roman" w:hAnsi="Times New Roman" w:cs="Times New Roman"/>
          <w:sz w:val="24"/>
          <w:szCs w:val="24"/>
          <w:lang w:val="en-GB"/>
        </w:rPr>
        <w:t xml:space="preserve"> litigation before the ICC. Notwithstanding the variety of other legal questions raised by this fascinating judicial saga, and especially those concerning the relationship between different ICC organs and the applicable standard of review under Article 53(3), these matters are addressed only to the extent</w:t>
      </w:r>
      <w:r w:rsidRPr="00FD1F6E">
        <w:rPr>
          <w:rFonts w:ascii="Times New Roman" w:hAnsi="Times New Roman" w:cs="Times New Roman"/>
          <w:sz w:val="24"/>
          <w:szCs w:val="24"/>
          <w:lang w:val="en-GB"/>
        </w:rPr>
        <w:t xml:space="preserve"> they are relevant for the gravity examination.</w:t>
      </w:r>
    </w:p>
    <w:p w:rsidR="006E729E" w:rsidRDefault="006E729E" w:rsidP="00E43A16">
      <w:pPr>
        <w:spacing w:after="0" w:line="360" w:lineRule="auto"/>
        <w:jc w:val="both"/>
        <w:rPr>
          <w:rFonts w:ascii="Times New Roman" w:hAnsi="Times New Roman" w:cs="Times New Roman"/>
          <w:sz w:val="24"/>
          <w:szCs w:val="24"/>
          <w:lang w:val="en-GB"/>
        </w:rPr>
      </w:pPr>
    </w:p>
    <w:p w:rsidR="00E43A16" w:rsidRPr="00FD1F6E" w:rsidRDefault="00E43A16" w:rsidP="00E43A16">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In this author’s opinion, all the actors involved – the Office of the Prosecutor </w:t>
      </w:r>
      <w:r w:rsidR="00B40FD2" w:rsidRPr="00FD1F6E">
        <w:rPr>
          <w:rFonts w:ascii="Times New Roman" w:hAnsi="Times New Roman" w:cs="Times New Roman"/>
          <w:sz w:val="24"/>
          <w:szCs w:val="24"/>
          <w:lang w:val="en-GB"/>
        </w:rPr>
        <w:t xml:space="preserve">(‘OTP’) </w:t>
      </w:r>
      <w:r w:rsidRPr="00FD1F6E">
        <w:rPr>
          <w:rFonts w:ascii="Times New Roman" w:hAnsi="Times New Roman" w:cs="Times New Roman"/>
          <w:sz w:val="24"/>
          <w:szCs w:val="24"/>
          <w:lang w:val="en-GB"/>
        </w:rPr>
        <w:t xml:space="preserve">and Pre-Trial Chamber </w:t>
      </w:r>
      <w:r w:rsidR="000C7DE1" w:rsidRPr="00FD1F6E">
        <w:rPr>
          <w:rFonts w:ascii="Times New Roman" w:hAnsi="Times New Roman" w:cs="Times New Roman"/>
          <w:sz w:val="24"/>
          <w:szCs w:val="24"/>
          <w:lang w:val="en-GB"/>
        </w:rPr>
        <w:t xml:space="preserve">I (‘PTC I’) </w:t>
      </w:r>
      <w:r w:rsidRPr="00FD1F6E">
        <w:rPr>
          <w:rFonts w:ascii="Times New Roman" w:hAnsi="Times New Roman" w:cs="Times New Roman"/>
          <w:sz w:val="24"/>
          <w:szCs w:val="24"/>
          <w:lang w:val="en-GB"/>
        </w:rPr>
        <w:t>alike – failed to address the gravity issue in the correct wa</w:t>
      </w:r>
      <w:r w:rsidR="00F4341A" w:rsidRPr="00FD1F6E">
        <w:rPr>
          <w:rFonts w:ascii="Times New Roman" w:hAnsi="Times New Roman" w:cs="Times New Roman"/>
          <w:sz w:val="24"/>
          <w:szCs w:val="24"/>
          <w:lang w:val="en-GB"/>
        </w:rPr>
        <w:t>y, since they did not recognise</w:t>
      </w:r>
      <w:r w:rsidRPr="00FD1F6E">
        <w:rPr>
          <w:rFonts w:ascii="Times New Roman" w:hAnsi="Times New Roman" w:cs="Times New Roman"/>
          <w:sz w:val="24"/>
          <w:szCs w:val="24"/>
          <w:lang w:val="en-GB"/>
        </w:rPr>
        <w:t xml:space="preserve"> that the gravity threshold </w:t>
      </w:r>
      <w:r w:rsidR="00F4341A" w:rsidRPr="00FD1F6E">
        <w:rPr>
          <w:rFonts w:ascii="Times New Roman" w:hAnsi="Times New Roman" w:cs="Times New Roman"/>
          <w:sz w:val="24"/>
          <w:szCs w:val="24"/>
          <w:lang w:val="en-GB"/>
        </w:rPr>
        <w:t xml:space="preserve">may vary in its </w:t>
      </w:r>
      <w:r w:rsidR="00F4341A" w:rsidRPr="00FD1F6E">
        <w:rPr>
          <w:rFonts w:ascii="Times New Roman" w:hAnsi="Times New Roman" w:cs="Times New Roman"/>
          <w:sz w:val="24"/>
          <w:szCs w:val="24"/>
          <w:lang w:val="en-GB"/>
        </w:rPr>
        <w:lastRenderedPageBreak/>
        <w:t>application, according to the specifics of particular circumstances. Rather</w:t>
      </w:r>
      <w:r w:rsidR="00E4785F" w:rsidRPr="00FD1F6E">
        <w:rPr>
          <w:rFonts w:ascii="Times New Roman" w:hAnsi="Times New Roman" w:cs="Times New Roman"/>
          <w:sz w:val="24"/>
          <w:szCs w:val="24"/>
          <w:lang w:val="en-GB"/>
        </w:rPr>
        <w:t>, t</w:t>
      </w:r>
      <w:r w:rsidRPr="00FD1F6E">
        <w:rPr>
          <w:rFonts w:ascii="Times New Roman" w:hAnsi="Times New Roman" w:cs="Times New Roman"/>
          <w:sz w:val="24"/>
          <w:szCs w:val="24"/>
          <w:lang w:val="en-GB"/>
        </w:rPr>
        <w:t>he application of the international rules on treaty interpretation</w:t>
      </w:r>
      <w:r w:rsidR="000C7DE1" w:rsidRPr="00FD1F6E">
        <w:rPr>
          <w:rFonts w:ascii="Times New Roman" w:hAnsi="Times New Roman" w:cs="Times New Roman"/>
          <w:sz w:val="24"/>
          <w:szCs w:val="24"/>
          <w:lang w:val="en-GB"/>
        </w:rPr>
        <w:t xml:space="preserve"> should </w:t>
      </w:r>
      <w:r w:rsidR="00BD37E6" w:rsidRPr="00FD1F6E">
        <w:rPr>
          <w:rFonts w:ascii="Times New Roman" w:hAnsi="Times New Roman" w:cs="Times New Roman"/>
          <w:sz w:val="24"/>
          <w:szCs w:val="24"/>
          <w:lang w:val="en-GB"/>
        </w:rPr>
        <w:t>result in</w:t>
      </w:r>
      <w:r w:rsidR="000C7DE1" w:rsidRPr="00FD1F6E">
        <w:rPr>
          <w:rFonts w:ascii="Times New Roman" w:hAnsi="Times New Roman" w:cs="Times New Roman"/>
          <w:sz w:val="24"/>
          <w:szCs w:val="24"/>
          <w:lang w:val="en-GB"/>
        </w:rPr>
        <w:t xml:space="preserve"> the conclusion</w:t>
      </w:r>
      <w:r w:rsidR="00B40FD2" w:rsidRPr="00FD1F6E">
        <w:rPr>
          <w:rFonts w:ascii="Times New Roman" w:hAnsi="Times New Roman" w:cs="Times New Roman"/>
          <w:sz w:val="24"/>
          <w:szCs w:val="24"/>
          <w:lang w:val="en-GB"/>
        </w:rPr>
        <w:t xml:space="preserve"> </w:t>
      </w:r>
      <w:r w:rsidR="00D4531E" w:rsidRPr="00FD1F6E">
        <w:rPr>
          <w:rFonts w:ascii="Times New Roman" w:hAnsi="Times New Roman" w:cs="Times New Roman"/>
          <w:sz w:val="24"/>
          <w:szCs w:val="24"/>
          <w:lang w:val="en-GB"/>
        </w:rPr>
        <w:t>that</w:t>
      </w:r>
      <w:r w:rsidR="00F4341A" w:rsidRPr="00FD1F6E">
        <w:rPr>
          <w:rFonts w:ascii="Times New Roman" w:hAnsi="Times New Roman" w:cs="Times New Roman"/>
          <w:sz w:val="24"/>
          <w:szCs w:val="24"/>
          <w:lang w:val="en-GB"/>
        </w:rPr>
        <w:t xml:space="preserve"> – just like Einstein theorised –</w:t>
      </w:r>
      <w:r w:rsidR="00D4531E" w:rsidRPr="00FD1F6E">
        <w:rPr>
          <w:rFonts w:ascii="Times New Roman" w:hAnsi="Times New Roman" w:cs="Times New Roman"/>
          <w:sz w:val="24"/>
          <w:szCs w:val="24"/>
          <w:lang w:val="en-GB"/>
        </w:rPr>
        <w:t xml:space="preserve"> everything is relative, even gravity.</w:t>
      </w:r>
    </w:p>
    <w:p w:rsidR="00E43A16" w:rsidRPr="00FD1F6E" w:rsidRDefault="00E43A16" w:rsidP="00E43A16">
      <w:pPr>
        <w:spacing w:after="0" w:line="360" w:lineRule="auto"/>
        <w:ind w:left="360"/>
        <w:jc w:val="both"/>
        <w:rPr>
          <w:rFonts w:ascii="Times New Roman" w:hAnsi="Times New Roman" w:cs="Times New Roman"/>
          <w:b/>
          <w:sz w:val="24"/>
          <w:szCs w:val="24"/>
          <w:lang w:val="en-GB"/>
        </w:rPr>
      </w:pPr>
    </w:p>
    <w:p w:rsidR="007D0A65" w:rsidRPr="00FD1F6E" w:rsidRDefault="00D4531E" w:rsidP="00E43A16">
      <w:pPr>
        <w:pStyle w:val="Paragrafoelenco"/>
        <w:numPr>
          <w:ilvl w:val="0"/>
          <w:numId w:val="3"/>
        </w:numPr>
        <w:spacing w:after="0" w:line="360" w:lineRule="auto"/>
        <w:jc w:val="both"/>
        <w:rPr>
          <w:rFonts w:ascii="Times New Roman" w:hAnsi="Times New Roman" w:cs="Times New Roman"/>
          <w:b/>
          <w:sz w:val="24"/>
          <w:szCs w:val="24"/>
          <w:lang w:val="en-GB"/>
        </w:rPr>
      </w:pPr>
      <w:r w:rsidRPr="00FD1F6E">
        <w:rPr>
          <w:rFonts w:ascii="Times New Roman" w:hAnsi="Times New Roman" w:cs="Times New Roman"/>
          <w:b/>
          <w:sz w:val="24"/>
          <w:szCs w:val="24"/>
          <w:lang w:val="en-GB"/>
        </w:rPr>
        <w:t>Th</w:t>
      </w:r>
      <w:r w:rsidR="0093389F" w:rsidRPr="00FD1F6E">
        <w:rPr>
          <w:rFonts w:ascii="Times New Roman" w:hAnsi="Times New Roman" w:cs="Times New Roman"/>
          <w:b/>
          <w:sz w:val="24"/>
          <w:szCs w:val="24"/>
          <w:lang w:val="en-GB"/>
        </w:rPr>
        <w:t xml:space="preserve">e </w:t>
      </w:r>
      <w:commentRangeStart w:id="1"/>
      <w:r w:rsidR="00AA36D1">
        <w:rPr>
          <w:rFonts w:ascii="Times New Roman" w:hAnsi="Times New Roman" w:cs="Times New Roman"/>
          <w:b/>
          <w:sz w:val="24"/>
          <w:szCs w:val="24"/>
          <w:lang w:val="en-GB"/>
        </w:rPr>
        <w:t>E</w:t>
      </w:r>
      <w:commentRangeEnd w:id="1"/>
      <w:r w:rsidR="00AA36D1">
        <w:rPr>
          <w:rStyle w:val="Rimandocommento"/>
        </w:rPr>
        <w:commentReference w:id="1"/>
      </w:r>
      <w:r w:rsidR="00F4341A" w:rsidRPr="00FD1F6E">
        <w:rPr>
          <w:rFonts w:ascii="Times New Roman" w:hAnsi="Times New Roman" w:cs="Times New Roman"/>
          <w:b/>
          <w:sz w:val="24"/>
          <w:szCs w:val="24"/>
          <w:lang w:val="en-GB"/>
        </w:rPr>
        <w:t xml:space="preserve">vents on board the </w:t>
      </w:r>
      <w:r w:rsidR="0093389F" w:rsidRPr="00FD1F6E">
        <w:rPr>
          <w:rFonts w:ascii="Times New Roman" w:hAnsi="Times New Roman" w:cs="Times New Roman"/>
          <w:b/>
          <w:i/>
          <w:sz w:val="24"/>
          <w:szCs w:val="24"/>
          <w:lang w:val="en-GB"/>
        </w:rPr>
        <w:t>Mavi Marmara</w:t>
      </w:r>
      <w:r w:rsidR="0093389F" w:rsidRPr="00FD1F6E">
        <w:rPr>
          <w:rFonts w:ascii="Times New Roman" w:hAnsi="Times New Roman" w:cs="Times New Roman"/>
          <w:b/>
          <w:sz w:val="24"/>
          <w:szCs w:val="24"/>
          <w:lang w:val="en-GB"/>
        </w:rPr>
        <w:t xml:space="preserve"> </w:t>
      </w:r>
      <w:r w:rsidRPr="00FD1F6E">
        <w:rPr>
          <w:rFonts w:ascii="Times New Roman" w:hAnsi="Times New Roman" w:cs="Times New Roman"/>
          <w:b/>
          <w:sz w:val="24"/>
          <w:szCs w:val="24"/>
          <w:lang w:val="en-GB"/>
        </w:rPr>
        <w:t>and the ICC</w:t>
      </w:r>
    </w:p>
    <w:p w:rsidR="000046D8" w:rsidRDefault="007D0A65"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In 2010</w:t>
      </w:r>
      <w:r w:rsidR="00AF4B65" w:rsidRPr="00FD1F6E">
        <w:rPr>
          <w:rFonts w:ascii="Times New Roman" w:hAnsi="Times New Roman" w:cs="Times New Roman"/>
          <w:sz w:val="24"/>
          <w:szCs w:val="24"/>
          <w:lang w:val="en-GB"/>
        </w:rPr>
        <w:t>,</w:t>
      </w:r>
      <w:r w:rsidRPr="00FD1F6E">
        <w:rPr>
          <w:rFonts w:ascii="Times New Roman" w:hAnsi="Times New Roman" w:cs="Times New Roman"/>
          <w:sz w:val="24"/>
          <w:szCs w:val="24"/>
          <w:lang w:val="en-GB"/>
        </w:rPr>
        <w:t xml:space="preserve"> a group of vessels </w:t>
      </w:r>
      <w:r w:rsidR="00AF4B65" w:rsidRPr="00FD1F6E">
        <w:rPr>
          <w:rFonts w:ascii="Times New Roman" w:hAnsi="Times New Roman" w:cs="Times New Roman"/>
          <w:sz w:val="24"/>
          <w:szCs w:val="24"/>
          <w:lang w:val="en-GB"/>
        </w:rPr>
        <w:t xml:space="preserve">called the Gaza Aid Flotilla </w:t>
      </w:r>
      <w:r w:rsidRPr="00FD1F6E">
        <w:rPr>
          <w:rFonts w:ascii="Times New Roman" w:hAnsi="Times New Roman" w:cs="Times New Roman"/>
          <w:sz w:val="24"/>
          <w:szCs w:val="24"/>
          <w:lang w:val="en-GB"/>
        </w:rPr>
        <w:t xml:space="preserve">attempted to </w:t>
      </w:r>
      <w:r w:rsidR="00AF4B65" w:rsidRPr="00FD1F6E">
        <w:rPr>
          <w:rFonts w:ascii="Times New Roman" w:hAnsi="Times New Roman" w:cs="Times New Roman"/>
          <w:sz w:val="24"/>
          <w:szCs w:val="24"/>
          <w:lang w:val="en-GB"/>
        </w:rPr>
        <w:t>breach</w:t>
      </w:r>
      <w:r w:rsidRPr="00FD1F6E">
        <w:rPr>
          <w:rFonts w:ascii="Times New Roman" w:hAnsi="Times New Roman" w:cs="Times New Roman"/>
          <w:sz w:val="24"/>
          <w:szCs w:val="24"/>
          <w:lang w:val="en-GB"/>
        </w:rPr>
        <w:t xml:space="preserve"> the naval blockade imposed by Israel upon the Gaza Strip </w:t>
      </w:r>
      <w:r w:rsidR="00BD37E6" w:rsidRPr="00FD1F6E">
        <w:rPr>
          <w:rFonts w:ascii="Times New Roman" w:hAnsi="Times New Roman" w:cs="Times New Roman"/>
          <w:sz w:val="24"/>
          <w:szCs w:val="24"/>
          <w:lang w:val="en-GB"/>
        </w:rPr>
        <w:t xml:space="preserve">in order </w:t>
      </w:r>
      <w:r w:rsidRPr="00FD1F6E">
        <w:rPr>
          <w:rFonts w:ascii="Times New Roman" w:hAnsi="Times New Roman" w:cs="Times New Roman"/>
          <w:sz w:val="24"/>
          <w:szCs w:val="24"/>
          <w:lang w:val="en-GB"/>
        </w:rPr>
        <w:t xml:space="preserve">to bring humanitarian aid and </w:t>
      </w:r>
      <w:r w:rsidR="007D464C" w:rsidRPr="00FD1F6E">
        <w:rPr>
          <w:rFonts w:ascii="Times New Roman" w:hAnsi="Times New Roman" w:cs="Times New Roman"/>
          <w:sz w:val="24"/>
          <w:szCs w:val="24"/>
          <w:lang w:val="en-GB"/>
        </w:rPr>
        <w:t xml:space="preserve">draw the attention of the international community </w:t>
      </w:r>
      <w:r w:rsidR="00AF4B65" w:rsidRPr="00FD1F6E">
        <w:rPr>
          <w:rFonts w:ascii="Times New Roman" w:hAnsi="Times New Roman" w:cs="Times New Roman"/>
          <w:sz w:val="24"/>
          <w:szCs w:val="24"/>
          <w:lang w:val="en-GB"/>
        </w:rPr>
        <w:t>t</w:t>
      </w:r>
      <w:r w:rsidR="007D464C" w:rsidRPr="00FD1F6E">
        <w:rPr>
          <w:rFonts w:ascii="Times New Roman" w:hAnsi="Times New Roman" w:cs="Times New Roman"/>
          <w:sz w:val="24"/>
          <w:szCs w:val="24"/>
          <w:lang w:val="en-GB"/>
        </w:rPr>
        <w:t xml:space="preserve">o the dramatic life conditions </w:t>
      </w:r>
      <w:r w:rsidR="00AF4B65" w:rsidRPr="00FD1F6E">
        <w:rPr>
          <w:rFonts w:ascii="Times New Roman" w:hAnsi="Times New Roman" w:cs="Times New Roman"/>
          <w:sz w:val="24"/>
          <w:szCs w:val="24"/>
          <w:lang w:val="en-GB"/>
        </w:rPr>
        <w:t>in</w:t>
      </w:r>
      <w:r w:rsidR="007D464C" w:rsidRPr="00FD1F6E">
        <w:rPr>
          <w:rFonts w:ascii="Times New Roman" w:hAnsi="Times New Roman" w:cs="Times New Roman"/>
          <w:sz w:val="24"/>
          <w:szCs w:val="24"/>
          <w:lang w:val="en-GB"/>
        </w:rPr>
        <w:t xml:space="preserve"> the area. The Gaza Aid Flotilla </w:t>
      </w:r>
      <w:r w:rsidR="00942726" w:rsidRPr="00FD1F6E">
        <w:rPr>
          <w:rFonts w:ascii="Times New Roman" w:hAnsi="Times New Roman" w:cs="Times New Roman"/>
          <w:sz w:val="24"/>
          <w:szCs w:val="24"/>
          <w:lang w:val="en-GB"/>
        </w:rPr>
        <w:t>was comprised</w:t>
      </w:r>
      <w:r w:rsidR="00F4341A" w:rsidRPr="00FD1F6E">
        <w:rPr>
          <w:rFonts w:ascii="Times New Roman" w:hAnsi="Times New Roman" w:cs="Times New Roman"/>
          <w:sz w:val="24"/>
          <w:szCs w:val="24"/>
          <w:lang w:val="en-GB"/>
        </w:rPr>
        <w:t>, among others,</w:t>
      </w:r>
      <w:r w:rsidR="00942726" w:rsidRPr="00FD1F6E">
        <w:rPr>
          <w:rFonts w:ascii="Times New Roman" w:hAnsi="Times New Roman" w:cs="Times New Roman"/>
          <w:sz w:val="24"/>
          <w:szCs w:val="24"/>
          <w:lang w:val="en-GB"/>
        </w:rPr>
        <w:t xml:space="preserve"> of </w:t>
      </w:r>
      <w:r w:rsidR="007D464C" w:rsidRPr="00FD1F6E">
        <w:rPr>
          <w:rFonts w:ascii="Times New Roman" w:hAnsi="Times New Roman" w:cs="Times New Roman"/>
          <w:sz w:val="24"/>
          <w:szCs w:val="24"/>
          <w:lang w:val="en-GB"/>
        </w:rPr>
        <w:t xml:space="preserve">the vessel </w:t>
      </w:r>
      <w:r w:rsidR="007D464C" w:rsidRPr="00FD1F6E">
        <w:rPr>
          <w:rFonts w:ascii="Times New Roman" w:hAnsi="Times New Roman" w:cs="Times New Roman"/>
          <w:i/>
          <w:sz w:val="24"/>
          <w:szCs w:val="24"/>
          <w:lang w:val="en-GB"/>
        </w:rPr>
        <w:t>Mavi Marmara</w:t>
      </w:r>
      <w:r w:rsidR="007D464C" w:rsidRPr="00FD1F6E">
        <w:rPr>
          <w:rFonts w:ascii="Times New Roman" w:hAnsi="Times New Roman" w:cs="Times New Roman"/>
          <w:sz w:val="24"/>
          <w:szCs w:val="24"/>
          <w:lang w:val="en-GB"/>
        </w:rPr>
        <w:t>, under the flag of the Union of the Comoros (</w:t>
      </w:r>
      <w:r w:rsidR="0093389F" w:rsidRPr="00FD1F6E">
        <w:rPr>
          <w:rFonts w:ascii="Times New Roman" w:hAnsi="Times New Roman" w:cs="Times New Roman"/>
          <w:sz w:val="24"/>
          <w:szCs w:val="24"/>
          <w:lang w:val="en-GB"/>
        </w:rPr>
        <w:t>‘</w:t>
      </w:r>
      <w:r w:rsidR="007D464C" w:rsidRPr="00FD1F6E">
        <w:rPr>
          <w:rFonts w:ascii="Times New Roman" w:hAnsi="Times New Roman" w:cs="Times New Roman"/>
          <w:sz w:val="24"/>
          <w:szCs w:val="24"/>
          <w:lang w:val="en-GB"/>
        </w:rPr>
        <w:t>the Comoros’). On 21 May 2010</w:t>
      </w:r>
      <w:r w:rsidR="00AF4B65" w:rsidRPr="00FD1F6E">
        <w:rPr>
          <w:rFonts w:ascii="Times New Roman" w:hAnsi="Times New Roman" w:cs="Times New Roman"/>
          <w:sz w:val="24"/>
          <w:szCs w:val="24"/>
          <w:lang w:val="en-GB"/>
        </w:rPr>
        <w:t xml:space="preserve">, the Israel Defence Forces (‘IDF’) </w:t>
      </w:r>
      <w:r w:rsidR="006379DB" w:rsidRPr="00FD1F6E">
        <w:rPr>
          <w:rFonts w:ascii="Times New Roman" w:hAnsi="Times New Roman" w:cs="Times New Roman"/>
          <w:sz w:val="24"/>
          <w:szCs w:val="24"/>
          <w:lang w:val="en-GB"/>
        </w:rPr>
        <w:t xml:space="preserve">forcibly boarded the vessels of the convoy, most notably the </w:t>
      </w:r>
      <w:r w:rsidR="006379DB" w:rsidRPr="00FD1F6E">
        <w:rPr>
          <w:rFonts w:ascii="Times New Roman" w:hAnsi="Times New Roman" w:cs="Times New Roman"/>
          <w:i/>
          <w:iCs/>
          <w:sz w:val="24"/>
          <w:szCs w:val="24"/>
          <w:lang w:val="en-GB"/>
        </w:rPr>
        <w:t>Mavi Marmara</w:t>
      </w:r>
      <w:r w:rsidR="006379DB" w:rsidRPr="00FD1F6E">
        <w:rPr>
          <w:rFonts w:ascii="Times New Roman" w:hAnsi="Times New Roman" w:cs="Times New Roman"/>
          <w:sz w:val="24"/>
          <w:szCs w:val="24"/>
          <w:lang w:val="en-GB"/>
        </w:rPr>
        <w:t xml:space="preserve">, </w:t>
      </w:r>
      <w:r w:rsidR="00AF4B65" w:rsidRPr="00FD1F6E">
        <w:rPr>
          <w:rFonts w:ascii="Times New Roman" w:hAnsi="Times New Roman" w:cs="Times New Roman"/>
          <w:sz w:val="24"/>
          <w:szCs w:val="24"/>
          <w:lang w:val="en-GB"/>
        </w:rPr>
        <w:t xml:space="preserve">in order to enforce </w:t>
      </w:r>
      <w:r w:rsidR="007D464C" w:rsidRPr="00FD1F6E">
        <w:rPr>
          <w:rFonts w:ascii="Times New Roman" w:hAnsi="Times New Roman" w:cs="Times New Roman"/>
          <w:sz w:val="24"/>
          <w:szCs w:val="24"/>
          <w:lang w:val="en-GB"/>
        </w:rPr>
        <w:t xml:space="preserve">the blockade. </w:t>
      </w:r>
      <w:r w:rsidR="006379DB" w:rsidRPr="00FD1F6E">
        <w:rPr>
          <w:rFonts w:ascii="Times New Roman" w:hAnsi="Times New Roman" w:cs="Times New Roman"/>
          <w:sz w:val="24"/>
          <w:szCs w:val="24"/>
          <w:lang w:val="en-GB"/>
        </w:rPr>
        <w:t>Some passengers resisted the boarding and, during the operation,</w:t>
      </w:r>
      <w:r w:rsidR="000046D8" w:rsidRPr="00FD1F6E">
        <w:rPr>
          <w:rFonts w:ascii="Times New Roman" w:hAnsi="Times New Roman" w:cs="Times New Roman"/>
          <w:sz w:val="24"/>
          <w:szCs w:val="24"/>
          <w:lang w:val="en-GB"/>
        </w:rPr>
        <w:t xml:space="preserve"> nine</w:t>
      </w:r>
      <w:r w:rsidR="006379DB" w:rsidRPr="00FD1F6E">
        <w:rPr>
          <w:rFonts w:ascii="Times New Roman" w:hAnsi="Times New Roman" w:cs="Times New Roman"/>
          <w:sz w:val="24"/>
          <w:szCs w:val="24"/>
          <w:lang w:val="en-GB"/>
        </w:rPr>
        <w:t xml:space="preserve"> </w:t>
      </w:r>
      <w:r w:rsidR="00393F9B">
        <w:rPr>
          <w:rFonts w:ascii="Times New Roman" w:hAnsi="Times New Roman" w:cs="Times New Roman"/>
          <w:sz w:val="24"/>
          <w:szCs w:val="24"/>
          <w:lang w:val="en-GB"/>
        </w:rPr>
        <w:t>were killed</w:t>
      </w:r>
      <w:r w:rsidR="006E729E">
        <w:rPr>
          <w:rFonts w:ascii="Times New Roman" w:hAnsi="Times New Roman" w:cs="Times New Roman"/>
          <w:sz w:val="24"/>
          <w:szCs w:val="24"/>
          <w:lang w:val="en-GB"/>
        </w:rPr>
        <w:t xml:space="preserve"> (and </w:t>
      </w:r>
      <w:r w:rsidR="00BD37E6" w:rsidRPr="00FD1F6E">
        <w:rPr>
          <w:rFonts w:ascii="Times New Roman" w:hAnsi="Times New Roman" w:cs="Times New Roman"/>
          <w:sz w:val="24"/>
          <w:szCs w:val="24"/>
          <w:lang w:val="en-GB"/>
        </w:rPr>
        <w:t xml:space="preserve">one </w:t>
      </w:r>
      <w:r w:rsidR="006E729E">
        <w:rPr>
          <w:rFonts w:ascii="Times New Roman" w:hAnsi="Times New Roman" w:cs="Times New Roman"/>
          <w:sz w:val="24"/>
          <w:szCs w:val="24"/>
          <w:lang w:val="en-GB"/>
        </w:rPr>
        <w:t xml:space="preserve">died </w:t>
      </w:r>
      <w:r w:rsidR="00BD37E6" w:rsidRPr="00FD1F6E">
        <w:rPr>
          <w:rFonts w:ascii="Times New Roman" w:hAnsi="Times New Roman" w:cs="Times New Roman"/>
          <w:sz w:val="24"/>
          <w:szCs w:val="24"/>
          <w:lang w:val="en-GB"/>
        </w:rPr>
        <w:t xml:space="preserve">later of </w:t>
      </w:r>
      <w:r w:rsidR="00E4785F" w:rsidRPr="00FD1F6E">
        <w:rPr>
          <w:rFonts w:ascii="Times New Roman" w:hAnsi="Times New Roman" w:cs="Times New Roman"/>
          <w:sz w:val="24"/>
          <w:szCs w:val="24"/>
          <w:lang w:val="en-GB"/>
        </w:rPr>
        <w:t>their wounds</w:t>
      </w:r>
      <w:r w:rsidR="006E729E">
        <w:rPr>
          <w:rFonts w:ascii="Times New Roman" w:hAnsi="Times New Roman" w:cs="Times New Roman"/>
          <w:sz w:val="24"/>
          <w:szCs w:val="24"/>
          <w:lang w:val="en-GB"/>
        </w:rPr>
        <w:t>). M</w:t>
      </w:r>
      <w:r w:rsidR="007D464C" w:rsidRPr="00FD1F6E">
        <w:rPr>
          <w:rFonts w:ascii="Times New Roman" w:hAnsi="Times New Roman" w:cs="Times New Roman"/>
          <w:sz w:val="24"/>
          <w:szCs w:val="24"/>
          <w:lang w:val="en-GB"/>
        </w:rPr>
        <w:t>any others</w:t>
      </w:r>
      <w:r w:rsidR="006379DB" w:rsidRPr="00FD1F6E">
        <w:rPr>
          <w:rFonts w:ascii="Times New Roman" w:hAnsi="Times New Roman" w:cs="Times New Roman"/>
          <w:sz w:val="24"/>
          <w:szCs w:val="24"/>
          <w:lang w:val="en-GB"/>
        </w:rPr>
        <w:t xml:space="preserve">, both on the </w:t>
      </w:r>
      <w:r w:rsidR="006379DB" w:rsidRPr="00FD1F6E">
        <w:rPr>
          <w:rFonts w:ascii="Times New Roman" w:hAnsi="Times New Roman" w:cs="Times New Roman"/>
          <w:i/>
          <w:iCs/>
          <w:sz w:val="24"/>
          <w:szCs w:val="24"/>
          <w:lang w:val="en-GB"/>
        </w:rPr>
        <w:t xml:space="preserve">Mavi Marmara </w:t>
      </w:r>
      <w:r w:rsidR="006379DB" w:rsidRPr="00FD1F6E">
        <w:rPr>
          <w:rFonts w:ascii="Times New Roman" w:hAnsi="Times New Roman" w:cs="Times New Roman"/>
          <w:sz w:val="24"/>
          <w:szCs w:val="24"/>
          <w:lang w:val="en-GB"/>
        </w:rPr>
        <w:t>and on other vessels, reported suffering abuses while detained by the IDF</w:t>
      </w:r>
      <w:r w:rsidR="00165174">
        <w:rPr>
          <w:rFonts w:ascii="Times New Roman" w:hAnsi="Times New Roman" w:cs="Times New Roman"/>
          <w:sz w:val="24"/>
          <w:szCs w:val="24"/>
          <w:lang w:val="en-GB"/>
        </w:rPr>
        <w:t xml:space="preserve"> on their way to port</w:t>
      </w:r>
      <w:r w:rsidR="007D464C" w:rsidRPr="00FD1F6E">
        <w:rPr>
          <w:rFonts w:ascii="Times New Roman" w:hAnsi="Times New Roman" w:cs="Times New Roman"/>
          <w:sz w:val="24"/>
          <w:szCs w:val="24"/>
          <w:lang w:val="en-GB"/>
        </w:rPr>
        <w:t>.</w:t>
      </w:r>
      <w:r w:rsidR="000046D8" w:rsidRPr="00FD1F6E">
        <w:rPr>
          <w:rFonts w:ascii="Times New Roman" w:hAnsi="Times New Roman" w:cs="Times New Roman"/>
          <w:sz w:val="24"/>
          <w:szCs w:val="24"/>
          <w:lang w:val="en-GB"/>
        </w:rPr>
        <w:t xml:space="preserve"> The</w:t>
      </w:r>
      <w:r w:rsidR="00165174">
        <w:rPr>
          <w:rFonts w:ascii="Times New Roman" w:hAnsi="Times New Roman" w:cs="Times New Roman"/>
          <w:sz w:val="24"/>
          <w:szCs w:val="24"/>
          <w:lang w:val="en-GB"/>
        </w:rPr>
        <w:t xml:space="preserve"> very fact of the</w:t>
      </w:r>
      <w:r w:rsidR="000046D8" w:rsidRPr="00FD1F6E">
        <w:rPr>
          <w:rFonts w:ascii="Times New Roman" w:hAnsi="Times New Roman" w:cs="Times New Roman"/>
          <w:sz w:val="24"/>
          <w:szCs w:val="24"/>
          <w:lang w:val="en-GB"/>
        </w:rPr>
        <w:t xml:space="preserve"> </w:t>
      </w:r>
      <w:r w:rsidR="006379DB" w:rsidRPr="00FD1F6E">
        <w:rPr>
          <w:rFonts w:ascii="Times New Roman" w:hAnsi="Times New Roman" w:cs="Times New Roman"/>
          <w:sz w:val="24"/>
          <w:szCs w:val="24"/>
          <w:lang w:val="en-GB"/>
        </w:rPr>
        <w:t>interception and boarding operation</w:t>
      </w:r>
      <w:r w:rsidR="000046D8" w:rsidRPr="00FD1F6E">
        <w:rPr>
          <w:rFonts w:ascii="Times New Roman" w:hAnsi="Times New Roman" w:cs="Times New Roman"/>
          <w:sz w:val="24"/>
          <w:szCs w:val="24"/>
          <w:lang w:val="en-GB"/>
        </w:rPr>
        <w:t xml:space="preserve"> </w:t>
      </w:r>
      <w:r w:rsidR="00165174">
        <w:rPr>
          <w:rFonts w:ascii="Times New Roman" w:hAnsi="Times New Roman" w:cs="Times New Roman"/>
          <w:sz w:val="24"/>
          <w:szCs w:val="24"/>
          <w:lang w:val="en-GB"/>
        </w:rPr>
        <w:t xml:space="preserve">has since </w:t>
      </w:r>
      <w:r w:rsidR="000046D8" w:rsidRPr="00FD1F6E">
        <w:rPr>
          <w:rFonts w:ascii="Times New Roman" w:hAnsi="Times New Roman" w:cs="Times New Roman"/>
          <w:sz w:val="24"/>
          <w:szCs w:val="24"/>
          <w:lang w:val="en-GB"/>
        </w:rPr>
        <w:t xml:space="preserve">nurtured an interesting debate among scholars on the applicability of the rules </w:t>
      </w:r>
      <w:r w:rsidR="00AF4B65" w:rsidRPr="00FD1F6E">
        <w:rPr>
          <w:rFonts w:ascii="Times New Roman" w:hAnsi="Times New Roman" w:cs="Times New Roman"/>
          <w:sz w:val="24"/>
          <w:szCs w:val="24"/>
          <w:lang w:val="en-GB"/>
        </w:rPr>
        <w:t>regulating</w:t>
      </w:r>
      <w:r w:rsidR="000046D8" w:rsidRPr="00FD1F6E">
        <w:rPr>
          <w:rFonts w:ascii="Times New Roman" w:hAnsi="Times New Roman" w:cs="Times New Roman"/>
          <w:sz w:val="24"/>
          <w:szCs w:val="24"/>
          <w:lang w:val="en-GB"/>
        </w:rPr>
        <w:t xml:space="preserve"> naval blockade</w:t>
      </w:r>
      <w:r w:rsidR="00AF4B65" w:rsidRPr="00FD1F6E">
        <w:rPr>
          <w:rFonts w:ascii="Times New Roman" w:hAnsi="Times New Roman" w:cs="Times New Roman"/>
          <w:sz w:val="24"/>
          <w:szCs w:val="24"/>
          <w:lang w:val="en-GB"/>
        </w:rPr>
        <w:t>s</w:t>
      </w:r>
      <w:r w:rsidR="000046D8" w:rsidRPr="00FD1F6E">
        <w:rPr>
          <w:rFonts w:ascii="Times New Roman" w:hAnsi="Times New Roman" w:cs="Times New Roman"/>
          <w:sz w:val="24"/>
          <w:szCs w:val="24"/>
          <w:lang w:val="en-GB"/>
        </w:rPr>
        <w:t xml:space="preserve"> t</w:t>
      </w:r>
      <w:r w:rsidR="001D3E5C" w:rsidRPr="00FD1F6E">
        <w:rPr>
          <w:rFonts w:ascii="Times New Roman" w:hAnsi="Times New Roman" w:cs="Times New Roman"/>
          <w:sz w:val="24"/>
          <w:szCs w:val="24"/>
          <w:lang w:val="en-GB"/>
        </w:rPr>
        <w:t>o</w:t>
      </w:r>
      <w:r w:rsidR="000046D8" w:rsidRPr="00FD1F6E">
        <w:rPr>
          <w:rFonts w:ascii="Times New Roman" w:hAnsi="Times New Roman" w:cs="Times New Roman"/>
          <w:sz w:val="24"/>
          <w:szCs w:val="24"/>
          <w:lang w:val="en-GB"/>
        </w:rPr>
        <w:t xml:space="preserve"> the Gaza situation.</w:t>
      </w:r>
      <w:r w:rsidR="00F267E8" w:rsidRPr="00FD1F6E">
        <w:rPr>
          <w:rStyle w:val="Rimandonotaapidipagina"/>
          <w:rFonts w:ascii="Times New Roman" w:hAnsi="Times New Roman" w:cs="Times New Roman"/>
          <w:sz w:val="24"/>
          <w:szCs w:val="24"/>
          <w:lang w:val="en-GB"/>
        </w:rPr>
        <w:footnoteReference w:id="4"/>
      </w:r>
    </w:p>
    <w:p w:rsidR="00165174" w:rsidRPr="00FD1F6E" w:rsidRDefault="00165174" w:rsidP="00CA0198">
      <w:pPr>
        <w:spacing w:after="0" w:line="360" w:lineRule="auto"/>
        <w:jc w:val="both"/>
        <w:rPr>
          <w:rFonts w:ascii="Times New Roman" w:hAnsi="Times New Roman" w:cs="Times New Roman"/>
          <w:sz w:val="24"/>
          <w:szCs w:val="24"/>
          <w:lang w:val="en-GB"/>
        </w:rPr>
      </w:pPr>
    </w:p>
    <w:p w:rsidR="000046D8" w:rsidRDefault="000046D8"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However, at the time of the assault</w:t>
      </w:r>
      <w:r w:rsidR="00AF4B65" w:rsidRPr="00FD1F6E">
        <w:rPr>
          <w:rFonts w:ascii="Times New Roman" w:hAnsi="Times New Roman" w:cs="Times New Roman"/>
          <w:sz w:val="24"/>
          <w:szCs w:val="24"/>
          <w:lang w:val="en-GB"/>
        </w:rPr>
        <w:t>,</w:t>
      </w:r>
      <w:r w:rsidRPr="00FD1F6E">
        <w:rPr>
          <w:rFonts w:ascii="Times New Roman" w:hAnsi="Times New Roman" w:cs="Times New Roman"/>
          <w:sz w:val="24"/>
          <w:szCs w:val="24"/>
          <w:lang w:val="en-GB"/>
        </w:rPr>
        <w:t xml:space="preserve"> the international community reacted </w:t>
      </w:r>
      <w:r w:rsidR="006379DB" w:rsidRPr="00FD1F6E">
        <w:rPr>
          <w:rFonts w:ascii="Times New Roman" w:hAnsi="Times New Roman" w:cs="Times New Roman"/>
          <w:sz w:val="24"/>
          <w:szCs w:val="24"/>
          <w:lang w:val="en-GB"/>
        </w:rPr>
        <w:t>w</w:t>
      </w:r>
      <w:r w:rsidRPr="00FD1F6E">
        <w:rPr>
          <w:rFonts w:ascii="Times New Roman" w:hAnsi="Times New Roman" w:cs="Times New Roman"/>
          <w:sz w:val="24"/>
          <w:szCs w:val="24"/>
          <w:lang w:val="en-GB"/>
        </w:rPr>
        <w:t>eakly. The United Nations (</w:t>
      </w:r>
      <w:r w:rsidR="0093389F" w:rsidRPr="00FD1F6E">
        <w:rPr>
          <w:rFonts w:ascii="Times New Roman" w:hAnsi="Times New Roman" w:cs="Times New Roman"/>
          <w:sz w:val="24"/>
          <w:szCs w:val="24"/>
          <w:lang w:val="en-GB"/>
        </w:rPr>
        <w:t>‘</w:t>
      </w:r>
      <w:r w:rsidRPr="00FD1F6E">
        <w:rPr>
          <w:rFonts w:ascii="Times New Roman" w:hAnsi="Times New Roman" w:cs="Times New Roman"/>
          <w:sz w:val="24"/>
          <w:szCs w:val="24"/>
          <w:lang w:val="en-GB"/>
        </w:rPr>
        <w:t>UN</w:t>
      </w:r>
      <w:r w:rsidR="0093389F" w:rsidRPr="00FD1F6E">
        <w:rPr>
          <w:rFonts w:ascii="Times New Roman" w:hAnsi="Times New Roman" w:cs="Times New Roman"/>
          <w:sz w:val="24"/>
          <w:szCs w:val="24"/>
          <w:lang w:val="en-GB"/>
        </w:rPr>
        <w:t>’</w:t>
      </w:r>
      <w:r w:rsidRPr="00FD1F6E">
        <w:rPr>
          <w:rFonts w:ascii="Times New Roman" w:hAnsi="Times New Roman" w:cs="Times New Roman"/>
          <w:sz w:val="24"/>
          <w:szCs w:val="24"/>
          <w:lang w:val="en-GB"/>
        </w:rPr>
        <w:t xml:space="preserve">) Security Council </w:t>
      </w:r>
      <w:r w:rsidR="004750A6" w:rsidRPr="00FD1F6E">
        <w:rPr>
          <w:rFonts w:ascii="Times New Roman" w:hAnsi="Times New Roman" w:cs="Times New Roman"/>
          <w:sz w:val="24"/>
          <w:szCs w:val="24"/>
          <w:lang w:val="en-GB"/>
        </w:rPr>
        <w:t>failed to</w:t>
      </w:r>
      <w:r w:rsidR="00952E00" w:rsidRPr="00FD1F6E">
        <w:rPr>
          <w:rFonts w:ascii="Times New Roman" w:hAnsi="Times New Roman" w:cs="Times New Roman"/>
          <w:sz w:val="24"/>
          <w:szCs w:val="24"/>
          <w:lang w:val="en-GB"/>
        </w:rPr>
        <w:t xml:space="preserve"> pass any resolution</w:t>
      </w:r>
      <w:r w:rsidR="004750A6" w:rsidRPr="00FD1F6E">
        <w:rPr>
          <w:rFonts w:ascii="Times New Roman" w:hAnsi="Times New Roman" w:cs="Times New Roman"/>
          <w:sz w:val="24"/>
          <w:szCs w:val="24"/>
          <w:lang w:val="en-GB"/>
        </w:rPr>
        <w:t>s</w:t>
      </w:r>
      <w:r w:rsidRPr="00FD1F6E">
        <w:rPr>
          <w:rFonts w:ascii="Times New Roman" w:hAnsi="Times New Roman" w:cs="Times New Roman"/>
          <w:sz w:val="24"/>
          <w:szCs w:val="24"/>
          <w:lang w:val="en-GB"/>
        </w:rPr>
        <w:t xml:space="preserve">; its President only issued </w:t>
      </w:r>
      <w:r w:rsidR="004750A6" w:rsidRPr="00FD1F6E">
        <w:rPr>
          <w:rFonts w:ascii="Times New Roman" w:hAnsi="Times New Roman" w:cs="Times New Roman"/>
          <w:sz w:val="24"/>
          <w:szCs w:val="24"/>
          <w:lang w:val="en-GB"/>
        </w:rPr>
        <w:t>one</w:t>
      </w:r>
      <w:r w:rsidRPr="00FD1F6E">
        <w:rPr>
          <w:rFonts w:ascii="Times New Roman" w:hAnsi="Times New Roman" w:cs="Times New Roman"/>
          <w:sz w:val="24"/>
          <w:szCs w:val="24"/>
          <w:lang w:val="en-GB"/>
        </w:rPr>
        <w:t xml:space="preserve"> non-binding statement.</w:t>
      </w:r>
      <w:r w:rsidR="00F267E8" w:rsidRPr="00FD1F6E">
        <w:rPr>
          <w:rStyle w:val="Rimandonotaapidipagina"/>
          <w:rFonts w:ascii="Times New Roman" w:hAnsi="Times New Roman" w:cs="Times New Roman"/>
          <w:sz w:val="24"/>
          <w:szCs w:val="24"/>
          <w:lang w:val="en-GB"/>
        </w:rPr>
        <w:footnoteReference w:id="5"/>
      </w:r>
      <w:r w:rsidRPr="00FD1F6E">
        <w:rPr>
          <w:rFonts w:ascii="Times New Roman" w:hAnsi="Times New Roman" w:cs="Times New Roman"/>
          <w:sz w:val="24"/>
          <w:szCs w:val="24"/>
          <w:lang w:val="en-GB"/>
        </w:rPr>
        <w:t xml:space="preserve"> On the other hand, the UN Human Rights Council (</w:t>
      </w:r>
      <w:r w:rsidR="0093389F" w:rsidRPr="00FD1F6E">
        <w:rPr>
          <w:rFonts w:ascii="Times New Roman" w:hAnsi="Times New Roman" w:cs="Times New Roman"/>
          <w:sz w:val="24"/>
          <w:szCs w:val="24"/>
          <w:lang w:val="en-GB"/>
        </w:rPr>
        <w:t>‘</w:t>
      </w:r>
      <w:r w:rsidRPr="00FD1F6E">
        <w:rPr>
          <w:rFonts w:ascii="Times New Roman" w:hAnsi="Times New Roman" w:cs="Times New Roman"/>
          <w:sz w:val="24"/>
          <w:szCs w:val="24"/>
          <w:lang w:val="en-GB"/>
        </w:rPr>
        <w:t>HRC</w:t>
      </w:r>
      <w:r w:rsidR="0093389F" w:rsidRPr="00FD1F6E">
        <w:rPr>
          <w:rFonts w:ascii="Times New Roman" w:hAnsi="Times New Roman" w:cs="Times New Roman"/>
          <w:sz w:val="24"/>
          <w:szCs w:val="24"/>
          <w:lang w:val="en-GB"/>
        </w:rPr>
        <w:t>’</w:t>
      </w:r>
      <w:r w:rsidRPr="00FD1F6E">
        <w:rPr>
          <w:rFonts w:ascii="Times New Roman" w:hAnsi="Times New Roman" w:cs="Times New Roman"/>
          <w:sz w:val="24"/>
          <w:szCs w:val="24"/>
          <w:lang w:val="en-GB"/>
        </w:rPr>
        <w:t>) criticised the Israeli use of force</w:t>
      </w:r>
      <w:r w:rsidR="000C7DE1" w:rsidRPr="00FD1F6E">
        <w:rPr>
          <w:rFonts w:ascii="Times New Roman" w:hAnsi="Times New Roman" w:cs="Times New Roman"/>
          <w:sz w:val="24"/>
          <w:szCs w:val="24"/>
          <w:lang w:val="en-GB"/>
        </w:rPr>
        <w:t xml:space="preserve"> against the convoy</w:t>
      </w:r>
      <w:r w:rsidRPr="00FD1F6E">
        <w:rPr>
          <w:rFonts w:ascii="Times New Roman" w:hAnsi="Times New Roman" w:cs="Times New Roman"/>
          <w:sz w:val="24"/>
          <w:szCs w:val="24"/>
          <w:lang w:val="en-GB"/>
        </w:rPr>
        <w:t>.</w:t>
      </w:r>
      <w:r w:rsidR="00F267E8" w:rsidRPr="00FD1F6E">
        <w:rPr>
          <w:rStyle w:val="Rimandonotaapidipagina"/>
          <w:rFonts w:ascii="Times New Roman" w:hAnsi="Times New Roman" w:cs="Times New Roman"/>
          <w:sz w:val="24"/>
          <w:szCs w:val="24"/>
          <w:lang w:val="en-GB"/>
        </w:rPr>
        <w:footnoteReference w:id="6"/>
      </w:r>
      <w:r w:rsidRPr="00FD1F6E">
        <w:rPr>
          <w:rFonts w:ascii="Times New Roman" w:hAnsi="Times New Roman" w:cs="Times New Roman"/>
          <w:sz w:val="24"/>
          <w:szCs w:val="24"/>
          <w:lang w:val="en-GB"/>
        </w:rPr>
        <w:t xml:space="preserve"> Fact-finding commission</w:t>
      </w:r>
      <w:r w:rsidR="00AF4B65" w:rsidRPr="00FD1F6E">
        <w:rPr>
          <w:rFonts w:ascii="Times New Roman" w:hAnsi="Times New Roman" w:cs="Times New Roman"/>
          <w:sz w:val="24"/>
          <w:szCs w:val="24"/>
          <w:lang w:val="en-GB"/>
        </w:rPr>
        <w:t>s</w:t>
      </w:r>
      <w:r w:rsidRPr="00FD1F6E">
        <w:rPr>
          <w:rFonts w:ascii="Times New Roman" w:hAnsi="Times New Roman" w:cs="Times New Roman"/>
          <w:sz w:val="24"/>
          <w:szCs w:val="24"/>
          <w:lang w:val="en-GB"/>
        </w:rPr>
        <w:t xml:space="preserve"> were dispatched</w:t>
      </w:r>
      <w:r w:rsidR="00AF4B65" w:rsidRPr="00FD1F6E">
        <w:rPr>
          <w:rFonts w:ascii="Times New Roman" w:hAnsi="Times New Roman" w:cs="Times New Roman"/>
          <w:sz w:val="24"/>
          <w:szCs w:val="24"/>
          <w:lang w:val="en-GB"/>
        </w:rPr>
        <w:t xml:space="preserve"> </w:t>
      </w:r>
      <w:r w:rsidR="00165174">
        <w:rPr>
          <w:rFonts w:ascii="Times New Roman" w:hAnsi="Times New Roman" w:cs="Times New Roman"/>
          <w:sz w:val="24"/>
          <w:szCs w:val="24"/>
          <w:lang w:val="en-GB"/>
        </w:rPr>
        <w:t>by</w:t>
      </w:r>
      <w:r w:rsidRPr="00FD1F6E">
        <w:rPr>
          <w:rFonts w:ascii="Times New Roman" w:hAnsi="Times New Roman" w:cs="Times New Roman"/>
          <w:sz w:val="24"/>
          <w:szCs w:val="24"/>
          <w:lang w:val="en-GB"/>
        </w:rPr>
        <w:t xml:space="preserve"> the HRC,</w:t>
      </w:r>
      <w:r w:rsidR="00AF4B65" w:rsidRPr="00FD1F6E">
        <w:rPr>
          <w:rFonts w:ascii="Times New Roman" w:hAnsi="Times New Roman" w:cs="Times New Roman"/>
          <w:sz w:val="24"/>
          <w:szCs w:val="24"/>
          <w:lang w:val="en-GB"/>
        </w:rPr>
        <w:t xml:space="preserve"> </w:t>
      </w:r>
      <w:r w:rsidR="00165174">
        <w:rPr>
          <w:rFonts w:ascii="Times New Roman" w:hAnsi="Times New Roman" w:cs="Times New Roman"/>
          <w:sz w:val="24"/>
          <w:szCs w:val="24"/>
          <w:lang w:val="en-GB"/>
        </w:rPr>
        <w:t xml:space="preserve">and </w:t>
      </w:r>
      <w:r w:rsidR="00AF4B65" w:rsidRPr="00FD1F6E">
        <w:rPr>
          <w:rFonts w:ascii="Times New Roman" w:hAnsi="Times New Roman" w:cs="Times New Roman"/>
          <w:sz w:val="24"/>
          <w:szCs w:val="24"/>
          <w:lang w:val="en-GB"/>
        </w:rPr>
        <w:t>the st</w:t>
      </w:r>
      <w:r w:rsidRPr="00FD1F6E">
        <w:rPr>
          <w:rFonts w:ascii="Times New Roman" w:hAnsi="Times New Roman" w:cs="Times New Roman"/>
          <w:sz w:val="24"/>
          <w:szCs w:val="24"/>
          <w:lang w:val="en-GB"/>
        </w:rPr>
        <w:t>ate</w:t>
      </w:r>
      <w:r w:rsidR="00AF4B65" w:rsidRPr="00FD1F6E">
        <w:rPr>
          <w:rFonts w:ascii="Times New Roman" w:hAnsi="Times New Roman" w:cs="Times New Roman"/>
          <w:sz w:val="24"/>
          <w:szCs w:val="24"/>
          <w:lang w:val="en-GB"/>
        </w:rPr>
        <w:t>s</w:t>
      </w:r>
      <w:r w:rsidRPr="00FD1F6E">
        <w:rPr>
          <w:rFonts w:ascii="Times New Roman" w:hAnsi="Times New Roman" w:cs="Times New Roman"/>
          <w:sz w:val="24"/>
          <w:szCs w:val="24"/>
          <w:lang w:val="en-GB"/>
        </w:rPr>
        <w:t xml:space="preserve"> of Israel and Turkey</w:t>
      </w:r>
      <w:r w:rsidR="00165174">
        <w:rPr>
          <w:rFonts w:ascii="Times New Roman" w:hAnsi="Times New Roman" w:cs="Times New Roman"/>
          <w:sz w:val="24"/>
          <w:szCs w:val="24"/>
          <w:lang w:val="en-GB"/>
        </w:rPr>
        <w:t>;</w:t>
      </w:r>
      <w:r w:rsidR="006379DB" w:rsidRPr="00FD1F6E">
        <w:rPr>
          <w:rFonts w:ascii="Times New Roman" w:hAnsi="Times New Roman" w:cs="Times New Roman"/>
          <w:sz w:val="24"/>
          <w:szCs w:val="24"/>
          <w:lang w:val="en-GB"/>
        </w:rPr>
        <w:t xml:space="preserve"> the UN Secretary-General</w:t>
      </w:r>
      <w:r w:rsidR="00165174">
        <w:rPr>
          <w:rFonts w:ascii="Times New Roman" w:hAnsi="Times New Roman" w:cs="Times New Roman"/>
          <w:sz w:val="24"/>
          <w:szCs w:val="24"/>
          <w:lang w:val="en-GB"/>
        </w:rPr>
        <w:t xml:space="preserve"> also convened a further panel to review the reports of the Israeli and Turkish inquiries, and to make recommendations</w:t>
      </w:r>
      <w:r w:rsidRPr="00FD1F6E">
        <w:rPr>
          <w:rFonts w:ascii="Times New Roman" w:hAnsi="Times New Roman" w:cs="Times New Roman"/>
          <w:sz w:val="24"/>
          <w:szCs w:val="24"/>
          <w:lang w:val="en-GB"/>
        </w:rPr>
        <w:t>.</w:t>
      </w:r>
      <w:r w:rsidR="00952E00" w:rsidRPr="00FD1F6E">
        <w:rPr>
          <w:rStyle w:val="Rimandonotaapidipagina"/>
          <w:rFonts w:ascii="Times New Roman" w:hAnsi="Times New Roman" w:cs="Times New Roman"/>
          <w:sz w:val="24"/>
          <w:szCs w:val="24"/>
          <w:lang w:val="en-GB"/>
        </w:rPr>
        <w:footnoteReference w:id="7"/>
      </w:r>
    </w:p>
    <w:p w:rsidR="00165174" w:rsidRPr="00FD1F6E" w:rsidRDefault="00165174" w:rsidP="00CA0198">
      <w:pPr>
        <w:spacing w:after="0" w:line="360" w:lineRule="auto"/>
        <w:jc w:val="both"/>
        <w:rPr>
          <w:rFonts w:ascii="Times New Roman" w:hAnsi="Times New Roman" w:cs="Times New Roman"/>
          <w:sz w:val="24"/>
          <w:szCs w:val="24"/>
          <w:lang w:val="en-GB"/>
        </w:rPr>
      </w:pPr>
    </w:p>
    <w:p w:rsidR="007A6207" w:rsidRDefault="006379DB"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Notwithstanding </w:t>
      </w:r>
      <w:r w:rsidR="000046D8" w:rsidRPr="00FD1F6E">
        <w:rPr>
          <w:rFonts w:ascii="Times New Roman" w:hAnsi="Times New Roman" w:cs="Times New Roman"/>
          <w:sz w:val="24"/>
          <w:szCs w:val="24"/>
          <w:lang w:val="en-GB"/>
        </w:rPr>
        <w:t>the</w:t>
      </w:r>
      <w:r w:rsidR="00165174">
        <w:rPr>
          <w:rFonts w:ascii="Times New Roman" w:hAnsi="Times New Roman" w:cs="Times New Roman"/>
          <w:sz w:val="24"/>
          <w:szCs w:val="24"/>
          <w:lang w:val="en-GB"/>
        </w:rPr>
        <w:t>se measures, and the</w:t>
      </w:r>
      <w:r w:rsidR="000046D8" w:rsidRPr="00FD1F6E">
        <w:rPr>
          <w:rFonts w:ascii="Times New Roman" w:hAnsi="Times New Roman" w:cs="Times New Roman"/>
          <w:sz w:val="24"/>
          <w:szCs w:val="24"/>
          <w:lang w:val="en-GB"/>
        </w:rPr>
        <w:t xml:space="preserve"> obvious </w:t>
      </w:r>
      <w:r w:rsidRPr="00FD1F6E">
        <w:rPr>
          <w:rFonts w:ascii="Times New Roman" w:hAnsi="Times New Roman" w:cs="Times New Roman"/>
          <w:sz w:val="24"/>
          <w:szCs w:val="24"/>
          <w:lang w:val="en-GB"/>
        </w:rPr>
        <w:t>impact</w:t>
      </w:r>
      <w:r w:rsidR="000046D8" w:rsidRPr="00FD1F6E">
        <w:rPr>
          <w:rFonts w:ascii="Times New Roman" w:hAnsi="Times New Roman" w:cs="Times New Roman"/>
          <w:sz w:val="24"/>
          <w:szCs w:val="24"/>
          <w:lang w:val="en-GB"/>
        </w:rPr>
        <w:t xml:space="preserve"> </w:t>
      </w:r>
      <w:r w:rsidRPr="00FD1F6E">
        <w:rPr>
          <w:rFonts w:ascii="Times New Roman" w:hAnsi="Times New Roman" w:cs="Times New Roman"/>
          <w:sz w:val="24"/>
          <w:szCs w:val="24"/>
          <w:lang w:val="en-GB"/>
        </w:rPr>
        <w:t>on</w:t>
      </w:r>
      <w:r w:rsidR="000046D8" w:rsidRPr="00FD1F6E">
        <w:rPr>
          <w:rFonts w:ascii="Times New Roman" w:hAnsi="Times New Roman" w:cs="Times New Roman"/>
          <w:sz w:val="24"/>
          <w:szCs w:val="24"/>
          <w:lang w:val="en-GB"/>
        </w:rPr>
        <w:t xml:space="preserve"> the victims,</w:t>
      </w:r>
      <w:r w:rsidR="00952E00" w:rsidRPr="00FD1F6E">
        <w:rPr>
          <w:rFonts w:ascii="Times New Roman" w:hAnsi="Times New Roman" w:cs="Times New Roman"/>
          <w:sz w:val="24"/>
          <w:szCs w:val="24"/>
          <w:lang w:val="en-GB"/>
        </w:rPr>
        <w:t xml:space="preserve"> the </w:t>
      </w:r>
      <w:r w:rsidRPr="00FD1F6E">
        <w:rPr>
          <w:rFonts w:ascii="Times New Roman" w:hAnsi="Times New Roman" w:cs="Times New Roman"/>
          <w:sz w:val="24"/>
          <w:szCs w:val="24"/>
          <w:lang w:val="en-GB"/>
        </w:rPr>
        <w:t xml:space="preserve">events aboard the </w:t>
      </w:r>
      <w:r w:rsidRPr="00FD1F6E">
        <w:rPr>
          <w:rFonts w:ascii="Times New Roman" w:hAnsi="Times New Roman" w:cs="Times New Roman"/>
          <w:i/>
          <w:iCs/>
          <w:sz w:val="24"/>
          <w:szCs w:val="24"/>
          <w:lang w:val="en-GB"/>
        </w:rPr>
        <w:t>Mavi Marmara</w:t>
      </w:r>
      <w:r w:rsidRPr="00FD1F6E">
        <w:rPr>
          <w:rFonts w:ascii="Times New Roman" w:hAnsi="Times New Roman" w:cs="Times New Roman"/>
          <w:sz w:val="24"/>
          <w:szCs w:val="24"/>
          <w:lang w:val="en-GB"/>
        </w:rPr>
        <w:t xml:space="preserve"> </w:t>
      </w:r>
      <w:r w:rsidR="00165174">
        <w:rPr>
          <w:rFonts w:ascii="Times New Roman" w:hAnsi="Times New Roman" w:cs="Times New Roman"/>
          <w:sz w:val="24"/>
          <w:szCs w:val="24"/>
          <w:lang w:val="en-GB"/>
        </w:rPr>
        <w:t xml:space="preserve">initially </w:t>
      </w:r>
      <w:r w:rsidR="000046D8" w:rsidRPr="00FD1F6E">
        <w:rPr>
          <w:rFonts w:ascii="Times New Roman" w:hAnsi="Times New Roman" w:cs="Times New Roman"/>
          <w:sz w:val="24"/>
          <w:szCs w:val="24"/>
          <w:lang w:val="en-GB"/>
        </w:rPr>
        <w:t xml:space="preserve">appeared a minor </w:t>
      </w:r>
      <w:r w:rsidR="00956F99" w:rsidRPr="00FD1F6E">
        <w:rPr>
          <w:rFonts w:ascii="Times New Roman" w:hAnsi="Times New Roman" w:cs="Times New Roman"/>
          <w:sz w:val="24"/>
          <w:szCs w:val="24"/>
          <w:lang w:val="en-GB"/>
        </w:rPr>
        <w:t>episode</w:t>
      </w:r>
      <w:r w:rsidR="000046D8" w:rsidRPr="00FD1F6E">
        <w:rPr>
          <w:rFonts w:ascii="Times New Roman" w:hAnsi="Times New Roman" w:cs="Times New Roman"/>
          <w:sz w:val="24"/>
          <w:szCs w:val="24"/>
          <w:lang w:val="en-GB"/>
        </w:rPr>
        <w:t xml:space="preserve"> in the Israeli occupation of the Palestinian Territory</w:t>
      </w:r>
      <w:r w:rsidR="00956F99" w:rsidRPr="00FD1F6E">
        <w:rPr>
          <w:rFonts w:ascii="Times New Roman" w:hAnsi="Times New Roman" w:cs="Times New Roman"/>
          <w:sz w:val="24"/>
          <w:szCs w:val="24"/>
          <w:lang w:val="en-GB"/>
        </w:rPr>
        <w:t xml:space="preserve">. </w:t>
      </w:r>
      <w:r w:rsidR="00165174">
        <w:rPr>
          <w:rFonts w:ascii="Times New Roman" w:hAnsi="Times New Roman" w:cs="Times New Roman"/>
          <w:sz w:val="24"/>
          <w:szCs w:val="24"/>
          <w:lang w:val="en-GB"/>
        </w:rPr>
        <w:t>Yet s</w:t>
      </w:r>
      <w:r w:rsidRPr="00FD1F6E">
        <w:rPr>
          <w:rFonts w:ascii="Times New Roman" w:hAnsi="Times New Roman" w:cs="Times New Roman"/>
          <w:sz w:val="24"/>
          <w:szCs w:val="24"/>
          <w:lang w:val="en-GB"/>
        </w:rPr>
        <w:t xml:space="preserve">ince the ICC lacked jurisdiction over crimes committed in Palestine – a situation </w:t>
      </w:r>
      <w:r w:rsidR="00393F9B">
        <w:rPr>
          <w:rFonts w:ascii="Times New Roman" w:hAnsi="Times New Roman" w:cs="Times New Roman"/>
          <w:sz w:val="24"/>
          <w:szCs w:val="24"/>
          <w:lang w:val="en-GB"/>
        </w:rPr>
        <w:t>that</w:t>
      </w:r>
      <w:r w:rsidRPr="00FD1F6E">
        <w:rPr>
          <w:rFonts w:ascii="Times New Roman" w:hAnsi="Times New Roman" w:cs="Times New Roman"/>
          <w:sz w:val="24"/>
          <w:szCs w:val="24"/>
          <w:lang w:val="en-GB"/>
        </w:rPr>
        <w:t xml:space="preserve"> only changed in early 2015</w:t>
      </w:r>
      <w:r w:rsidRPr="00FD1F6E">
        <w:rPr>
          <w:rStyle w:val="Rimandonotaapidipagina"/>
          <w:rFonts w:ascii="Times New Roman" w:hAnsi="Times New Roman" w:cs="Times New Roman"/>
          <w:sz w:val="24"/>
          <w:szCs w:val="24"/>
          <w:lang w:val="en-GB"/>
        </w:rPr>
        <w:footnoteReference w:id="8"/>
      </w:r>
      <w:r w:rsidRPr="00FD1F6E">
        <w:rPr>
          <w:rFonts w:ascii="Times New Roman" w:hAnsi="Times New Roman" w:cs="Times New Roman"/>
          <w:sz w:val="24"/>
          <w:szCs w:val="24"/>
          <w:lang w:val="en-GB"/>
        </w:rPr>
        <w:t xml:space="preserve"> – there was some interest</w:t>
      </w:r>
      <w:r w:rsidR="00165174">
        <w:rPr>
          <w:rFonts w:ascii="Times New Roman" w:hAnsi="Times New Roman" w:cs="Times New Roman"/>
          <w:sz w:val="24"/>
          <w:szCs w:val="24"/>
          <w:lang w:val="en-GB"/>
        </w:rPr>
        <w:t xml:space="preserve"> in 2013</w:t>
      </w:r>
      <w:r w:rsidRPr="00FD1F6E">
        <w:rPr>
          <w:rFonts w:ascii="Times New Roman" w:hAnsi="Times New Roman" w:cs="Times New Roman"/>
          <w:sz w:val="24"/>
          <w:szCs w:val="24"/>
          <w:lang w:val="en-GB"/>
        </w:rPr>
        <w:t xml:space="preserve"> when the Comoros, an ICC State Party, referred the situation aboard the </w:t>
      </w:r>
      <w:r w:rsidRPr="00FD1F6E">
        <w:rPr>
          <w:rFonts w:ascii="Times New Roman" w:hAnsi="Times New Roman" w:cs="Times New Roman"/>
          <w:i/>
          <w:iCs/>
          <w:sz w:val="24"/>
          <w:szCs w:val="24"/>
          <w:lang w:val="en-GB"/>
        </w:rPr>
        <w:t>Mavi Marmara</w:t>
      </w:r>
      <w:r w:rsidRPr="00FD1F6E">
        <w:rPr>
          <w:rFonts w:ascii="Times New Roman" w:hAnsi="Times New Roman" w:cs="Times New Roman"/>
          <w:sz w:val="24"/>
          <w:szCs w:val="24"/>
          <w:lang w:val="en-GB"/>
        </w:rPr>
        <w:t xml:space="preserve"> to the ICC</w:t>
      </w:r>
      <w:r w:rsidR="00956F99" w:rsidRPr="00FD1F6E">
        <w:rPr>
          <w:rFonts w:ascii="Times New Roman" w:hAnsi="Times New Roman" w:cs="Times New Roman"/>
          <w:sz w:val="24"/>
          <w:szCs w:val="24"/>
          <w:lang w:val="en-GB"/>
        </w:rPr>
        <w:t>.</w:t>
      </w:r>
      <w:r w:rsidR="00F267E8" w:rsidRPr="00FD1F6E">
        <w:rPr>
          <w:rStyle w:val="Rimandonotaapidipagina"/>
          <w:rFonts w:ascii="Times New Roman" w:hAnsi="Times New Roman" w:cs="Times New Roman"/>
          <w:sz w:val="24"/>
          <w:szCs w:val="24"/>
          <w:lang w:val="en-GB"/>
        </w:rPr>
        <w:footnoteReference w:id="9"/>
      </w:r>
      <w:r w:rsidR="00956F99" w:rsidRPr="00FD1F6E">
        <w:rPr>
          <w:rFonts w:ascii="Times New Roman" w:hAnsi="Times New Roman" w:cs="Times New Roman"/>
          <w:sz w:val="24"/>
          <w:szCs w:val="24"/>
          <w:lang w:val="en-GB"/>
        </w:rPr>
        <w:t xml:space="preserve"> </w:t>
      </w:r>
      <w:r w:rsidR="000046D8" w:rsidRPr="00FD1F6E">
        <w:rPr>
          <w:rFonts w:ascii="Times New Roman" w:hAnsi="Times New Roman" w:cs="Times New Roman"/>
          <w:sz w:val="24"/>
          <w:szCs w:val="24"/>
          <w:lang w:val="en-GB"/>
        </w:rPr>
        <w:t>As a result, the</w:t>
      </w:r>
      <w:r w:rsidR="00C50F1B" w:rsidRPr="00FD1F6E">
        <w:rPr>
          <w:rFonts w:ascii="Times New Roman" w:hAnsi="Times New Roman" w:cs="Times New Roman"/>
          <w:sz w:val="24"/>
          <w:szCs w:val="24"/>
          <w:lang w:val="en-GB"/>
        </w:rPr>
        <w:t xml:space="preserve"> O</w:t>
      </w:r>
      <w:r w:rsidR="00B40FD2" w:rsidRPr="00FD1F6E">
        <w:rPr>
          <w:rFonts w:ascii="Times New Roman" w:hAnsi="Times New Roman" w:cs="Times New Roman"/>
          <w:sz w:val="24"/>
          <w:szCs w:val="24"/>
          <w:lang w:val="en-GB"/>
        </w:rPr>
        <w:t>TP</w:t>
      </w:r>
      <w:r w:rsidR="00956F99" w:rsidRPr="00FD1F6E">
        <w:rPr>
          <w:rFonts w:ascii="Times New Roman" w:hAnsi="Times New Roman" w:cs="Times New Roman"/>
          <w:sz w:val="24"/>
          <w:szCs w:val="24"/>
          <w:lang w:val="en-GB"/>
        </w:rPr>
        <w:t xml:space="preserve"> opened a preliminary </w:t>
      </w:r>
      <w:r w:rsidRPr="00FD1F6E">
        <w:rPr>
          <w:rFonts w:ascii="Times New Roman" w:hAnsi="Times New Roman" w:cs="Times New Roman"/>
          <w:sz w:val="24"/>
          <w:szCs w:val="24"/>
          <w:lang w:val="en-GB"/>
        </w:rPr>
        <w:t>examination</w:t>
      </w:r>
      <w:r w:rsidR="00165174">
        <w:rPr>
          <w:rFonts w:ascii="Times New Roman" w:hAnsi="Times New Roman" w:cs="Times New Roman"/>
          <w:sz w:val="24"/>
          <w:szCs w:val="24"/>
          <w:lang w:val="en-GB"/>
        </w:rPr>
        <w:t xml:space="preserve"> under Article 53 of the ICC Statute</w:t>
      </w:r>
      <w:r w:rsidR="00956F99" w:rsidRPr="00FD1F6E">
        <w:rPr>
          <w:rFonts w:ascii="Times New Roman" w:hAnsi="Times New Roman" w:cs="Times New Roman"/>
          <w:sz w:val="24"/>
          <w:szCs w:val="24"/>
          <w:lang w:val="en-GB"/>
        </w:rPr>
        <w:t>.</w:t>
      </w:r>
      <w:r w:rsidR="00F267E8" w:rsidRPr="00FD1F6E">
        <w:rPr>
          <w:rStyle w:val="Rimandonotaapidipagina"/>
          <w:rFonts w:ascii="Times New Roman" w:hAnsi="Times New Roman" w:cs="Times New Roman"/>
          <w:sz w:val="24"/>
          <w:szCs w:val="24"/>
          <w:lang w:val="en-GB"/>
        </w:rPr>
        <w:footnoteReference w:id="10"/>
      </w:r>
    </w:p>
    <w:p w:rsidR="00165174" w:rsidRPr="00FD1F6E" w:rsidRDefault="00165174" w:rsidP="00CA0198">
      <w:pPr>
        <w:spacing w:after="0" w:line="360" w:lineRule="auto"/>
        <w:jc w:val="both"/>
        <w:rPr>
          <w:rFonts w:ascii="Times New Roman" w:hAnsi="Times New Roman" w:cs="Times New Roman"/>
          <w:sz w:val="24"/>
          <w:szCs w:val="24"/>
          <w:lang w:val="en-GB"/>
        </w:rPr>
      </w:pPr>
    </w:p>
    <w:p w:rsidR="004C6CEE" w:rsidRPr="00FD1F6E" w:rsidRDefault="004506E3" w:rsidP="00165174">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On 6 November 2014, </w:t>
      </w:r>
      <w:r w:rsidR="00956F99" w:rsidRPr="00FD1F6E">
        <w:rPr>
          <w:rFonts w:ascii="Times New Roman" w:hAnsi="Times New Roman" w:cs="Times New Roman"/>
          <w:sz w:val="24"/>
          <w:szCs w:val="24"/>
          <w:lang w:val="en-GB"/>
        </w:rPr>
        <w:t xml:space="preserve">the </w:t>
      </w:r>
      <w:r w:rsidR="00C50F1B" w:rsidRPr="00FD1F6E">
        <w:rPr>
          <w:rFonts w:ascii="Times New Roman" w:hAnsi="Times New Roman" w:cs="Times New Roman"/>
          <w:sz w:val="24"/>
          <w:szCs w:val="24"/>
          <w:lang w:val="en-GB"/>
        </w:rPr>
        <w:t>O</w:t>
      </w:r>
      <w:r w:rsidR="00B40FD2" w:rsidRPr="00FD1F6E">
        <w:rPr>
          <w:rFonts w:ascii="Times New Roman" w:hAnsi="Times New Roman" w:cs="Times New Roman"/>
          <w:sz w:val="24"/>
          <w:szCs w:val="24"/>
          <w:lang w:val="en-GB"/>
        </w:rPr>
        <w:t>T</w:t>
      </w:r>
      <w:r w:rsidR="00956F99" w:rsidRPr="00FD1F6E">
        <w:rPr>
          <w:rFonts w:ascii="Times New Roman" w:hAnsi="Times New Roman" w:cs="Times New Roman"/>
          <w:sz w:val="24"/>
          <w:szCs w:val="24"/>
          <w:lang w:val="en-GB"/>
        </w:rPr>
        <w:t xml:space="preserve">P </w:t>
      </w:r>
      <w:r w:rsidR="00165174">
        <w:rPr>
          <w:rFonts w:ascii="Times New Roman" w:hAnsi="Times New Roman" w:cs="Times New Roman"/>
          <w:sz w:val="24"/>
          <w:szCs w:val="24"/>
          <w:lang w:val="en-GB"/>
        </w:rPr>
        <w:t xml:space="preserve">concluded its preliminary examination, finding </w:t>
      </w:r>
      <w:r w:rsidR="00E54D79" w:rsidRPr="00FD1F6E">
        <w:rPr>
          <w:rFonts w:ascii="Times New Roman" w:hAnsi="Times New Roman" w:cs="Times New Roman"/>
          <w:sz w:val="24"/>
          <w:szCs w:val="24"/>
          <w:lang w:val="en-GB"/>
        </w:rPr>
        <w:t>reasonable</w:t>
      </w:r>
      <w:r w:rsidR="00956F99" w:rsidRPr="00FD1F6E">
        <w:rPr>
          <w:rFonts w:ascii="Times New Roman" w:hAnsi="Times New Roman" w:cs="Times New Roman"/>
          <w:sz w:val="24"/>
          <w:szCs w:val="24"/>
          <w:lang w:val="en-GB"/>
        </w:rPr>
        <w:t xml:space="preserve"> grounds to </w:t>
      </w:r>
      <w:r w:rsidR="0029376C" w:rsidRPr="00FD1F6E">
        <w:rPr>
          <w:rFonts w:ascii="Times New Roman" w:hAnsi="Times New Roman" w:cs="Times New Roman"/>
          <w:sz w:val="24"/>
          <w:szCs w:val="24"/>
          <w:lang w:val="en-GB"/>
        </w:rPr>
        <w:t>believe</w:t>
      </w:r>
      <w:r w:rsidR="00956F99" w:rsidRPr="00FD1F6E">
        <w:rPr>
          <w:rFonts w:ascii="Times New Roman" w:hAnsi="Times New Roman" w:cs="Times New Roman"/>
          <w:sz w:val="24"/>
          <w:szCs w:val="24"/>
          <w:lang w:val="en-GB"/>
        </w:rPr>
        <w:t xml:space="preserve"> that war crimes</w:t>
      </w:r>
      <w:r w:rsidR="0029376C" w:rsidRPr="00FD1F6E">
        <w:rPr>
          <w:rFonts w:ascii="Times New Roman" w:hAnsi="Times New Roman" w:cs="Times New Roman"/>
          <w:sz w:val="24"/>
          <w:szCs w:val="24"/>
          <w:lang w:val="en-GB"/>
        </w:rPr>
        <w:t xml:space="preserve"> may</w:t>
      </w:r>
      <w:r w:rsidR="00956F99" w:rsidRPr="00FD1F6E">
        <w:rPr>
          <w:rFonts w:ascii="Times New Roman" w:hAnsi="Times New Roman" w:cs="Times New Roman"/>
          <w:sz w:val="24"/>
          <w:szCs w:val="24"/>
          <w:lang w:val="en-GB"/>
        </w:rPr>
        <w:t xml:space="preserve"> have been committed </w:t>
      </w:r>
      <w:r w:rsidR="0029376C" w:rsidRPr="00FD1F6E">
        <w:rPr>
          <w:rFonts w:ascii="Times New Roman" w:hAnsi="Times New Roman" w:cs="Times New Roman"/>
          <w:sz w:val="24"/>
          <w:szCs w:val="24"/>
          <w:lang w:val="en-GB"/>
        </w:rPr>
        <w:t xml:space="preserve">aboard the </w:t>
      </w:r>
      <w:r w:rsidR="0029376C" w:rsidRPr="00FD1F6E">
        <w:rPr>
          <w:rFonts w:ascii="Times New Roman" w:hAnsi="Times New Roman" w:cs="Times New Roman"/>
          <w:i/>
          <w:sz w:val="24"/>
          <w:szCs w:val="24"/>
          <w:lang w:val="en-GB"/>
        </w:rPr>
        <w:t>Mavi Marmara</w:t>
      </w:r>
      <w:r w:rsidR="00165174">
        <w:rPr>
          <w:rFonts w:ascii="Times New Roman" w:hAnsi="Times New Roman" w:cs="Times New Roman"/>
          <w:sz w:val="24"/>
          <w:szCs w:val="24"/>
          <w:lang w:val="en-GB"/>
        </w:rPr>
        <w:t>:</w:t>
      </w:r>
      <w:r w:rsidR="0093389F" w:rsidRPr="00FD1F6E">
        <w:rPr>
          <w:rFonts w:ascii="Times New Roman" w:hAnsi="Times New Roman" w:cs="Times New Roman"/>
          <w:sz w:val="24"/>
          <w:szCs w:val="24"/>
          <w:lang w:val="en-GB"/>
        </w:rPr>
        <w:t xml:space="preserve"> specifically</w:t>
      </w:r>
      <w:r w:rsidR="004750A6" w:rsidRPr="00FD1F6E">
        <w:rPr>
          <w:rFonts w:ascii="Times New Roman" w:hAnsi="Times New Roman" w:cs="Times New Roman"/>
          <w:sz w:val="24"/>
          <w:szCs w:val="24"/>
          <w:lang w:val="en-GB"/>
        </w:rPr>
        <w:t>,</w:t>
      </w:r>
      <w:r w:rsidR="0093389F" w:rsidRPr="00FD1F6E">
        <w:rPr>
          <w:rFonts w:ascii="Times New Roman" w:hAnsi="Times New Roman" w:cs="Times New Roman"/>
          <w:sz w:val="24"/>
          <w:szCs w:val="24"/>
          <w:lang w:val="en-GB"/>
        </w:rPr>
        <w:t xml:space="preserve"> wilful killings, wilfully causing serious injury</w:t>
      </w:r>
      <w:r w:rsidR="00165174">
        <w:rPr>
          <w:rFonts w:ascii="Times New Roman" w:hAnsi="Times New Roman" w:cs="Times New Roman"/>
          <w:sz w:val="24"/>
          <w:szCs w:val="24"/>
          <w:lang w:val="en-GB"/>
        </w:rPr>
        <w:t>, and</w:t>
      </w:r>
      <w:r w:rsidR="00165174" w:rsidRPr="00165174">
        <w:rPr>
          <w:rFonts w:ascii="Times New Roman" w:hAnsi="Times New Roman" w:cs="Times New Roman"/>
          <w:sz w:val="24"/>
          <w:szCs w:val="24"/>
          <w:lang w:val="en-GB"/>
        </w:rPr>
        <w:t xml:space="preserve"> </w:t>
      </w:r>
      <w:r w:rsidR="00165174" w:rsidRPr="00FD1F6E">
        <w:rPr>
          <w:rFonts w:ascii="Times New Roman" w:hAnsi="Times New Roman" w:cs="Times New Roman"/>
          <w:sz w:val="24"/>
          <w:szCs w:val="24"/>
          <w:lang w:val="en-GB"/>
        </w:rPr>
        <w:t>outrages upon personal dignity</w:t>
      </w:r>
      <w:r w:rsidR="00165174">
        <w:rPr>
          <w:rFonts w:ascii="Times New Roman" w:hAnsi="Times New Roman" w:cs="Times New Roman"/>
          <w:sz w:val="24"/>
          <w:szCs w:val="24"/>
          <w:lang w:val="en-GB"/>
        </w:rPr>
        <w:t>.</w:t>
      </w:r>
      <w:r w:rsidR="0093389F" w:rsidRPr="00FD1F6E">
        <w:rPr>
          <w:rStyle w:val="Rimandonotaapidipagina"/>
          <w:rFonts w:ascii="Times New Roman" w:hAnsi="Times New Roman" w:cs="Times New Roman"/>
          <w:sz w:val="24"/>
          <w:szCs w:val="24"/>
          <w:lang w:val="en-GB"/>
        </w:rPr>
        <w:footnoteReference w:id="11"/>
      </w:r>
      <w:r w:rsidR="00165174">
        <w:rPr>
          <w:rFonts w:ascii="Times New Roman" w:hAnsi="Times New Roman" w:cs="Times New Roman"/>
          <w:sz w:val="24"/>
          <w:szCs w:val="24"/>
          <w:lang w:val="en-GB"/>
        </w:rPr>
        <w:t xml:space="preserve"> The OTP also made a conditional finding concerning</w:t>
      </w:r>
      <w:r w:rsidR="00FD0BF8" w:rsidRPr="00FD1F6E">
        <w:rPr>
          <w:rFonts w:ascii="Times New Roman" w:hAnsi="Times New Roman" w:cs="Times New Roman"/>
          <w:sz w:val="24"/>
          <w:szCs w:val="24"/>
          <w:lang w:val="en-GB"/>
        </w:rPr>
        <w:t xml:space="preserve"> intentionally directing attack</w:t>
      </w:r>
      <w:r w:rsidRPr="00FD1F6E">
        <w:rPr>
          <w:rFonts w:ascii="Times New Roman" w:hAnsi="Times New Roman" w:cs="Times New Roman"/>
          <w:sz w:val="24"/>
          <w:szCs w:val="24"/>
          <w:lang w:val="en-GB"/>
        </w:rPr>
        <w:t>s</w:t>
      </w:r>
      <w:r w:rsidR="00FD0BF8" w:rsidRPr="00FD1F6E">
        <w:rPr>
          <w:rFonts w:ascii="Times New Roman" w:hAnsi="Times New Roman" w:cs="Times New Roman"/>
          <w:sz w:val="24"/>
          <w:szCs w:val="24"/>
          <w:lang w:val="en-GB"/>
        </w:rPr>
        <w:t xml:space="preserve"> against </w:t>
      </w:r>
      <w:r w:rsidRPr="00FD1F6E">
        <w:rPr>
          <w:rFonts w:ascii="Times New Roman" w:hAnsi="Times New Roman" w:cs="Times New Roman"/>
          <w:sz w:val="24"/>
          <w:szCs w:val="24"/>
          <w:lang w:val="en-GB"/>
        </w:rPr>
        <w:t xml:space="preserve">civilian </w:t>
      </w:r>
      <w:r w:rsidR="00FD0BF8" w:rsidRPr="00FD1F6E">
        <w:rPr>
          <w:rFonts w:ascii="Times New Roman" w:hAnsi="Times New Roman" w:cs="Times New Roman"/>
          <w:sz w:val="24"/>
          <w:szCs w:val="24"/>
          <w:lang w:val="en-GB"/>
        </w:rPr>
        <w:t>objects.</w:t>
      </w:r>
      <w:r w:rsidR="00FD0BF8" w:rsidRPr="00FD1F6E">
        <w:rPr>
          <w:rStyle w:val="Rimandonotaapidipagina"/>
          <w:rFonts w:ascii="Times New Roman" w:hAnsi="Times New Roman" w:cs="Times New Roman"/>
          <w:sz w:val="24"/>
          <w:szCs w:val="24"/>
          <w:lang w:val="en-GB"/>
        </w:rPr>
        <w:footnoteReference w:id="12"/>
      </w:r>
      <w:r w:rsidR="00956F99" w:rsidRPr="00FD1F6E">
        <w:rPr>
          <w:rFonts w:ascii="Times New Roman" w:hAnsi="Times New Roman" w:cs="Times New Roman"/>
          <w:sz w:val="24"/>
          <w:szCs w:val="24"/>
          <w:lang w:val="en-GB"/>
        </w:rPr>
        <w:t xml:space="preserve"> </w:t>
      </w:r>
      <w:r w:rsidR="00165174">
        <w:rPr>
          <w:rFonts w:ascii="Times New Roman" w:hAnsi="Times New Roman" w:cs="Times New Roman"/>
          <w:sz w:val="24"/>
          <w:szCs w:val="24"/>
          <w:lang w:val="en-GB"/>
        </w:rPr>
        <w:t xml:space="preserve">This satisfied the requirement of Article 53(1)(a). However, when it came to Article 53(1)(b), </w:t>
      </w:r>
      <w:r w:rsidR="00956F99" w:rsidRPr="00FD1F6E">
        <w:rPr>
          <w:rFonts w:ascii="Times New Roman" w:hAnsi="Times New Roman" w:cs="Times New Roman"/>
          <w:sz w:val="24"/>
          <w:szCs w:val="24"/>
          <w:lang w:val="en-GB"/>
        </w:rPr>
        <w:t xml:space="preserve"> the </w:t>
      </w:r>
      <w:r w:rsidR="00B40FD2" w:rsidRPr="00FD1F6E">
        <w:rPr>
          <w:rFonts w:ascii="Times New Roman" w:hAnsi="Times New Roman" w:cs="Times New Roman"/>
          <w:sz w:val="24"/>
          <w:szCs w:val="24"/>
          <w:lang w:val="en-GB"/>
        </w:rPr>
        <w:t>OT</w:t>
      </w:r>
      <w:r w:rsidR="00956F99" w:rsidRPr="00FD1F6E">
        <w:rPr>
          <w:rFonts w:ascii="Times New Roman" w:hAnsi="Times New Roman" w:cs="Times New Roman"/>
          <w:sz w:val="24"/>
          <w:szCs w:val="24"/>
          <w:lang w:val="en-GB"/>
        </w:rPr>
        <w:t xml:space="preserve">P concluded </w:t>
      </w:r>
      <w:r w:rsidR="004C6CEE" w:rsidRPr="00FD1F6E">
        <w:rPr>
          <w:rFonts w:ascii="Times New Roman" w:hAnsi="Times New Roman" w:cs="Times New Roman"/>
          <w:sz w:val="24"/>
          <w:szCs w:val="24"/>
          <w:lang w:val="en-GB"/>
        </w:rPr>
        <w:t xml:space="preserve">that </w:t>
      </w:r>
      <w:r w:rsidR="00165174">
        <w:rPr>
          <w:rFonts w:ascii="Times New Roman" w:hAnsi="Times New Roman" w:cs="Times New Roman"/>
          <w:sz w:val="24"/>
          <w:szCs w:val="24"/>
          <w:lang w:val="en-GB"/>
        </w:rPr>
        <w:t xml:space="preserve">there was no reasonable basis to proceed with </w:t>
      </w:r>
      <w:r w:rsidR="00165174" w:rsidRPr="00FD1F6E">
        <w:rPr>
          <w:rFonts w:ascii="Times New Roman" w:hAnsi="Times New Roman" w:cs="Times New Roman"/>
          <w:sz w:val="24"/>
          <w:szCs w:val="24"/>
          <w:lang w:val="en-GB"/>
        </w:rPr>
        <w:t xml:space="preserve">an investigation </w:t>
      </w:r>
      <w:r w:rsidR="00165174">
        <w:rPr>
          <w:rFonts w:ascii="Times New Roman" w:hAnsi="Times New Roman" w:cs="Times New Roman"/>
          <w:sz w:val="24"/>
          <w:szCs w:val="24"/>
          <w:lang w:val="en-GB"/>
        </w:rPr>
        <w:t>because any potential case would be inadmissible for lack</w:t>
      </w:r>
      <w:r w:rsidR="00165174" w:rsidRPr="00FD1F6E">
        <w:rPr>
          <w:rFonts w:ascii="Times New Roman" w:hAnsi="Times New Roman" w:cs="Times New Roman"/>
          <w:sz w:val="24"/>
          <w:szCs w:val="24"/>
          <w:lang w:val="en-GB"/>
        </w:rPr>
        <w:t xml:space="preserve"> of </w:t>
      </w:r>
      <w:r w:rsidR="00165174">
        <w:rPr>
          <w:rFonts w:ascii="Times New Roman" w:hAnsi="Times New Roman" w:cs="Times New Roman"/>
          <w:sz w:val="24"/>
          <w:szCs w:val="24"/>
          <w:lang w:val="en-GB"/>
        </w:rPr>
        <w:t>‘</w:t>
      </w:r>
      <w:r w:rsidR="00165174" w:rsidRPr="00FD1F6E">
        <w:rPr>
          <w:rFonts w:ascii="Times New Roman" w:hAnsi="Times New Roman" w:cs="Times New Roman"/>
          <w:sz w:val="24"/>
          <w:szCs w:val="24"/>
          <w:lang w:val="en-GB"/>
        </w:rPr>
        <w:t>sufficient gravity</w:t>
      </w:r>
      <w:r w:rsidR="00165174">
        <w:rPr>
          <w:rFonts w:ascii="Times New Roman" w:hAnsi="Times New Roman" w:cs="Times New Roman"/>
          <w:sz w:val="24"/>
          <w:szCs w:val="24"/>
          <w:lang w:val="en-GB"/>
        </w:rPr>
        <w:t>’</w:t>
      </w:r>
      <w:r w:rsidR="00165174" w:rsidRPr="00FD1F6E">
        <w:rPr>
          <w:rFonts w:ascii="Times New Roman" w:hAnsi="Times New Roman" w:cs="Times New Roman"/>
          <w:sz w:val="24"/>
          <w:szCs w:val="24"/>
          <w:lang w:val="en-GB"/>
        </w:rPr>
        <w:t>.</w:t>
      </w:r>
      <w:r w:rsidR="004C6CEE" w:rsidRPr="00FD1F6E">
        <w:rPr>
          <w:rFonts w:ascii="Times New Roman" w:hAnsi="Times New Roman" w:cs="Times New Roman"/>
          <w:sz w:val="24"/>
          <w:szCs w:val="24"/>
          <w:lang w:val="en-GB"/>
        </w:rPr>
        <w:t xml:space="preserve"> As a consequence</w:t>
      </w:r>
      <w:r w:rsidR="003671C9">
        <w:rPr>
          <w:rFonts w:ascii="Times New Roman" w:hAnsi="Times New Roman" w:cs="Times New Roman"/>
          <w:sz w:val="24"/>
          <w:szCs w:val="24"/>
          <w:lang w:val="en-GB"/>
        </w:rPr>
        <w:t xml:space="preserve"> of the </w:t>
      </w:r>
      <w:r w:rsidR="003671C9">
        <w:rPr>
          <w:rFonts w:ascii="Times New Roman" w:hAnsi="Times New Roman" w:cs="Times New Roman"/>
          <w:sz w:val="24"/>
          <w:szCs w:val="24"/>
          <w:lang w:val="en-GB"/>
        </w:rPr>
        <w:lastRenderedPageBreak/>
        <w:t>Comoros’ request for review of the Decision Not to Investigate</w:t>
      </w:r>
      <w:r w:rsidR="004C6CEE" w:rsidRPr="00FD1F6E">
        <w:rPr>
          <w:rFonts w:ascii="Times New Roman" w:hAnsi="Times New Roman" w:cs="Times New Roman"/>
          <w:sz w:val="24"/>
          <w:szCs w:val="24"/>
          <w:lang w:val="en-GB"/>
        </w:rPr>
        <w:t>,</w:t>
      </w:r>
      <w:r w:rsidR="003671C9" w:rsidRPr="00FD1F6E">
        <w:rPr>
          <w:rStyle w:val="Rimandonotaapidipagina"/>
          <w:rFonts w:ascii="Times New Roman" w:hAnsi="Times New Roman" w:cs="Times New Roman"/>
          <w:sz w:val="24"/>
          <w:szCs w:val="24"/>
          <w:lang w:val="en-GB"/>
        </w:rPr>
        <w:footnoteReference w:id="13"/>
      </w:r>
      <w:r w:rsidR="004C6CEE" w:rsidRPr="00FD1F6E">
        <w:rPr>
          <w:rFonts w:ascii="Times New Roman" w:hAnsi="Times New Roman" w:cs="Times New Roman"/>
          <w:sz w:val="24"/>
          <w:szCs w:val="24"/>
          <w:lang w:val="en-GB"/>
        </w:rPr>
        <w:t xml:space="preserve"> the </w:t>
      </w:r>
      <w:r w:rsidR="00E753E7" w:rsidRPr="00FD1F6E">
        <w:rPr>
          <w:rFonts w:ascii="Times New Roman" w:hAnsi="Times New Roman" w:cs="Times New Roman"/>
          <w:sz w:val="24"/>
          <w:szCs w:val="24"/>
          <w:lang w:val="en-GB"/>
        </w:rPr>
        <w:t>ICC</w:t>
      </w:r>
      <w:r w:rsidR="0029376C" w:rsidRPr="00FD1F6E">
        <w:rPr>
          <w:rFonts w:ascii="Times New Roman" w:hAnsi="Times New Roman" w:cs="Times New Roman"/>
          <w:sz w:val="24"/>
          <w:szCs w:val="24"/>
          <w:lang w:val="en-GB"/>
        </w:rPr>
        <w:t>’s</w:t>
      </w:r>
      <w:r w:rsidR="00E753E7" w:rsidRPr="00FD1F6E">
        <w:rPr>
          <w:rFonts w:ascii="Times New Roman" w:hAnsi="Times New Roman" w:cs="Times New Roman"/>
          <w:sz w:val="24"/>
          <w:szCs w:val="24"/>
          <w:lang w:val="en-GB"/>
        </w:rPr>
        <w:t xml:space="preserve"> </w:t>
      </w:r>
      <w:r w:rsidR="004C6CEE" w:rsidRPr="00FD1F6E">
        <w:rPr>
          <w:rFonts w:ascii="Times New Roman" w:hAnsi="Times New Roman" w:cs="Times New Roman"/>
          <w:sz w:val="24"/>
          <w:szCs w:val="24"/>
          <w:lang w:val="en-GB"/>
        </w:rPr>
        <w:t>P</w:t>
      </w:r>
      <w:r w:rsidR="0029376C" w:rsidRPr="00FD1F6E">
        <w:rPr>
          <w:rFonts w:ascii="Times New Roman" w:hAnsi="Times New Roman" w:cs="Times New Roman"/>
          <w:sz w:val="24"/>
          <w:szCs w:val="24"/>
          <w:lang w:val="en-GB"/>
        </w:rPr>
        <w:t>re-</w:t>
      </w:r>
      <w:r w:rsidR="004C6CEE" w:rsidRPr="00FD1F6E">
        <w:rPr>
          <w:rFonts w:ascii="Times New Roman" w:hAnsi="Times New Roman" w:cs="Times New Roman"/>
          <w:sz w:val="24"/>
          <w:szCs w:val="24"/>
          <w:lang w:val="en-GB"/>
        </w:rPr>
        <w:t>T</w:t>
      </w:r>
      <w:r w:rsidR="0029376C" w:rsidRPr="00FD1F6E">
        <w:rPr>
          <w:rFonts w:ascii="Times New Roman" w:hAnsi="Times New Roman" w:cs="Times New Roman"/>
          <w:sz w:val="24"/>
          <w:szCs w:val="24"/>
          <w:lang w:val="en-GB"/>
        </w:rPr>
        <w:t xml:space="preserve">rial </w:t>
      </w:r>
      <w:r w:rsidR="004C6CEE" w:rsidRPr="00FD1F6E">
        <w:rPr>
          <w:rFonts w:ascii="Times New Roman" w:hAnsi="Times New Roman" w:cs="Times New Roman"/>
          <w:sz w:val="24"/>
          <w:szCs w:val="24"/>
          <w:lang w:val="en-GB"/>
        </w:rPr>
        <w:t>C</w:t>
      </w:r>
      <w:r w:rsidR="0029376C" w:rsidRPr="00FD1F6E">
        <w:rPr>
          <w:rFonts w:ascii="Times New Roman" w:hAnsi="Times New Roman" w:cs="Times New Roman"/>
          <w:sz w:val="24"/>
          <w:szCs w:val="24"/>
          <w:lang w:val="en-GB"/>
        </w:rPr>
        <w:t>hamber</w:t>
      </w:r>
      <w:r w:rsidR="004C6CEE" w:rsidRPr="00FD1F6E">
        <w:rPr>
          <w:rFonts w:ascii="Times New Roman" w:hAnsi="Times New Roman" w:cs="Times New Roman"/>
          <w:sz w:val="24"/>
          <w:szCs w:val="24"/>
          <w:lang w:val="en-GB"/>
        </w:rPr>
        <w:t xml:space="preserve"> I</w:t>
      </w:r>
      <w:r w:rsidR="003671C9">
        <w:rPr>
          <w:rFonts w:ascii="Times New Roman" w:hAnsi="Times New Roman" w:cs="Times New Roman"/>
          <w:sz w:val="24"/>
          <w:szCs w:val="24"/>
          <w:lang w:val="en-GB"/>
        </w:rPr>
        <w:t xml:space="preserve"> decided</w:t>
      </w:r>
      <w:r w:rsidR="00393F9B">
        <w:rPr>
          <w:rFonts w:ascii="Times New Roman" w:hAnsi="Times New Roman" w:cs="Times New Roman"/>
          <w:sz w:val="24"/>
          <w:szCs w:val="24"/>
          <w:lang w:val="en-GB"/>
        </w:rPr>
        <w:t>,</w:t>
      </w:r>
      <w:r w:rsidR="0029376C" w:rsidRPr="00FD1F6E">
        <w:rPr>
          <w:rFonts w:ascii="Times New Roman" w:hAnsi="Times New Roman" w:cs="Times New Roman"/>
          <w:sz w:val="24"/>
          <w:szCs w:val="24"/>
          <w:lang w:val="en-GB"/>
        </w:rPr>
        <w:t xml:space="preserve"> by majority, </w:t>
      </w:r>
      <w:r w:rsidR="003671C9">
        <w:rPr>
          <w:rFonts w:ascii="Times New Roman" w:hAnsi="Times New Roman" w:cs="Times New Roman"/>
          <w:sz w:val="24"/>
          <w:szCs w:val="24"/>
          <w:lang w:val="en-GB"/>
        </w:rPr>
        <w:t xml:space="preserve">to </w:t>
      </w:r>
      <w:r w:rsidR="0029376C" w:rsidRPr="00FD1F6E">
        <w:rPr>
          <w:rFonts w:ascii="Times New Roman" w:hAnsi="Times New Roman" w:cs="Times New Roman"/>
          <w:sz w:val="24"/>
          <w:szCs w:val="24"/>
          <w:lang w:val="en-GB"/>
        </w:rPr>
        <w:t>request the OTP to reconsider</w:t>
      </w:r>
      <w:r w:rsidR="003671C9">
        <w:rPr>
          <w:rFonts w:ascii="Times New Roman" w:hAnsi="Times New Roman" w:cs="Times New Roman"/>
          <w:sz w:val="24"/>
          <w:szCs w:val="24"/>
          <w:lang w:val="en-GB"/>
        </w:rPr>
        <w:t xml:space="preserve">, finding </w:t>
      </w:r>
      <w:r w:rsidR="0029376C" w:rsidRPr="00FD1F6E">
        <w:rPr>
          <w:rFonts w:ascii="Times New Roman" w:hAnsi="Times New Roman" w:cs="Times New Roman"/>
          <w:sz w:val="24"/>
          <w:szCs w:val="24"/>
          <w:lang w:val="en-GB"/>
        </w:rPr>
        <w:t>the OTP’s gravity analysis to be flawed.</w:t>
      </w:r>
      <w:r w:rsidR="00F267E8" w:rsidRPr="00FD1F6E">
        <w:rPr>
          <w:rStyle w:val="Rimandonotaapidipagina"/>
          <w:rFonts w:ascii="Times New Roman" w:hAnsi="Times New Roman" w:cs="Times New Roman"/>
          <w:sz w:val="24"/>
          <w:szCs w:val="24"/>
          <w:lang w:val="en-GB"/>
        </w:rPr>
        <w:footnoteReference w:id="14"/>
      </w:r>
      <w:r w:rsidR="0087165B" w:rsidRPr="00FD1F6E">
        <w:rPr>
          <w:rFonts w:ascii="Times New Roman" w:hAnsi="Times New Roman" w:cs="Times New Roman"/>
          <w:sz w:val="24"/>
          <w:szCs w:val="24"/>
          <w:lang w:val="en-GB"/>
        </w:rPr>
        <w:t xml:space="preserve"> </w:t>
      </w:r>
      <w:r w:rsidR="003671C9">
        <w:rPr>
          <w:rFonts w:ascii="Times New Roman" w:hAnsi="Times New Roman" w:cs="Times New Roman"/>
          <w:sz w:val="24"/>
          <w:szCs w:val="24"/>
          <w:lang w:val="en-GB"/>
        </w:rPr>
        <w:t>Although t</w:t>
      </w:r>
      <w:r w:rsidR="0087165B" w:rsidRPr="00FD1F6E">
        <w:rPr>
          <w:rFonts w:ascii="Times New Roman" w:hAnsi="Times New Roman" w:cs="Times New Roman"/>
          <w:sz w:val="24"/>
          <w:szCs w:val="24"/>
          <w:lang w:val="en-GB"/>
        </w:rPr>
        <w:t xml:space="preserve">he </w:t>
      </w:r>
      <w:r w:rsidR="00941354" w:rsidRPr="00FD1F6E">
        <w:rPr>
          <w:rFonts w:ascii="Times New Roman" w:hAnsi="Times New Roman" w:cs="Times New Roman"/>
          <w:sz w:val="24"/>
          <w:szCs w:val="24"/>
          <w:lang w:val="en-GB"/>
        </w:rPr>
        <w:t>OT</w:t>
      </w:r>
      <w:r w:rsidR="0087165B" w:rsidRPr="00FD1F6E">
        <w:rPr>
          <w:rFonts w:ascii="Times New Roman" w:hAnsi="Times New Roman" w:cs="Times New Roman"/>
          <w:sz w:val="24"/>
          <w:szCs w:val="24"/>
          <w:lang w:val="en-GB"/>
        </w:rPr>
        <w:t xml:space="preserve">P </w:t>
      </w:r>
      <w:r w:rsidR="003671C9">
        <w:rPr>
          <w:rFonts w:ascii="Times New Roman" w:hAnsi="Times New Roman" w:cs="Times New Roman"/>
          <w:sz w:val="24"/>
          <w:szCs w:val="24"/>
          <w:lang w:val="en-GB"/>
        </w:rPr>
        <w:t>sought to challenge this decision,</w:t>
      </w:r>
      <w:r w:rsidR="0087165B" w:rsidRPr="00FD1F6E">
        <w:rPr>
          <w:rStyle w:val="Rimandonotaapidipagina"/>
          <w:rFonts w:ascii="Times New Roman" w:hAnsi="Times New Roman" w:cs="Times New Roman"/>
          <w:sz w:val="24"/>
          <w:szCs w:val="24"/>
          <w:lang w:val="en-GB"/>
        </w:rPr>
        <w:footnoteReference w:id="15"/>
      </w:r>
      <w:r w:rsidR="0087165B" w:rsidRPr="00FD1F6E">
        <w:rPr>
          <w:rFonts w:ascii="Times New Roman" w:hAnsi="Times New Roman" w:cs="Times New Roman"/>
          <w:sz w:val="24"/>
          <w:szCs w:val="24"/>
          <w:lang w:val="en-GB"/>
        </w:rPr>
        <w:t xml:space="preserve"> </w:t>
      </w:r>
      <w:r w:rsidR="003671C9">
        <w:rPr>
          <w:rFonts w:ascii="Times New Roman" w:hAnsi="Times New Roman" w:cs="Times New Roman"/>
          <w:sz w:val="24"/>
          <w:szCs w:val="24"/>
          <w:lang w:val="en-GB"/>
        </w:rPr>
        <w:t>i</w:t>
      </w:r>
      <w:r w:rsidR="0029376C" w:rsidRPr="00FD1F6E">
        <w:rPr>
          <w:rFonts w:ascii="Times New Roman" w:hAnsi="Times New Roman" w:cs="Times New Roman"/>
          <w:sz w:val="24"/>
          <w:szCs w:val="24"/>
          <w:lang w:val="en-GB"/>
        </w:rPr>
        <w:t xml:space="preserve">ts appeal was </w:t>
      </w:r>
      <w:r w:rsidR="004750A6" w:rsidRPr="00FD1F6E">
        <w:rPr>
          <w:rFonts w:ascii="Times New Roman" w:hAnsi="Times New Roman" w:cs="Times New Roman"/>
          <w:sz w:val="24"/>
          <w:szCs w:val="24"/>
          <w:lang w:val="en-GB"/>
        </w:rPr>
        <w:t>dismi</w:t>
      </w:r>
      <w:r w:rsidR="0087165B" w:rsidRPr="00FD1F6E">
        <w:rPr>
          <w:rFonts w:ascii="Times New Roman" w:hAnsi="Times New Roman" w:cs="Times New Roman"/>
          <w:sz w:val="24"/>
          <w:szCs w:val="24"/>
          <w:lang w:val="en-GB"/>
        </w:rPr>
        <w:t>ssed as inadmissible.</w:t>
      </w:r>
      <w:r w:rsidR="0087165B" w:rsidRPr="00FD1F6E">
        <w:rPr>
          <w:rStyle w:val="Rimandonotaapidipagina"/>
          <w:rFonts w:ascii="Times New Roman" w:hAnsi="Times New Roman" w:cs="Times New Roman"/>
          <w:sz w:val="24"/>
          <w:szCs w:val="24"/>
          <w:lang w:val="en-GB"/>
        </w:rPr>
        <w:footnoteReference w:id="16"/>
      </w:r>
    </w:p>
    <w:p w:rsidR="003671C9" w:rsidRDefault="003671C9" w:rsidP="00CA0198">
      <w:pPr>
        <w:spacing w:after="0" w:line="360" w:lineRule="auto"/>
        <w:jc w:val="both"/>
        <w:rPr>
          <w:rFonts w:ascii="Times New Roman" w:hAnsi="Times New Roman" w:cs="Times New Roman"/>
          <w:sz w:val="24"/>
          <w:szCs w:val="24"/>
          <w:lang w:val="en-GB"/>
        </w:rPr>
      </w:pPr>
    </w:p>
    <w:p w:rsidR="0029376C" w:rsidRPr="00FD1F6E" w:rsidRDefault="0029376C"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This article will first </w:t>
      </w:r>
      <w:r w:rsidR="003671C9">
        <w:rPr>
          <w:rFonts w:ascii="Times New Roman" w:hAnsi="Times New Roman" w:cs="Times New Roman"/>
          <w:sz w:val="24"/>
          <w:szCs w:val="24"/>
          <w:lang w:val="en-GB"/>
        </w:rPr>
        <w:t>consider</w:t>
      </w:r>
      <w:r w:rsidRPr="00FD1F6E">
        <w:rPr>
          <w:rFonts w:ascii="Times New Roman" w:hAnsi="Times New Roman" w:cs="Times New Roman"/>
          <w:sz w:val="24"/>
          <w:szCs w:val="24"/>
          <w:lang w:val="en-GB"/>
        </w:rPr>
        <w:t xml:space="preserve"> the </w:t>
      </w:r>
      <w:r w:rsidR="00393F9B">
        <w:rPr>
          <w:rFonts w:ascii="Times New Roman" w:hAnsi="Times New Roman" w:cs="Times New Roman"/>
          <w:sz w:val="24"/>
          <w:szCs w:val="24"/>
          <w:lang w:val="en-GB"/>
        </w:rPr>
        <w:t xml:space="preserve">gravity analyses </w:t>
      </w:r>
      <w:r w:rsidR="003671C9">
        <w:rPr>
          <w:rFonts w:ascii="Times New Roman" w:hAnsi="Times New Roman" w:cs="Times New Roman"/>
          <w:sz w:val="24"/>
          <w:szCs w:val="24"/>
          <w:lang w:val="en-GB"/>
        </w:rPr>
        <w:t>undertaken by</w:t>
      </w:r>
      <w:r w:rsidR="00393F9B">
        <w:rPr>
          <w:rFonts w:ascii="Times New Roman" w:hAnsi="Times New Roman" w:cs="Times New Roman"/>
          <w:sz w:val="24"/>
          <w:szCs w:val="24"/>
          <w:lang w:val="en-GB"/>
        </w:rPr>
        <w:t xml:space="preserve"> the </w:t>
      </w:r>
      <w:r w:rsidRPr="00FD1F6E">
        <w:rPr>
          <w:rFonts w:ascii="Times New Roman" w:hAnsi="Times New Roman" w:cs="Times New Roman"/>
          <w:sz w:val="24"/>
          <w:szCs w:val="24"/>
          <w:lang w:val="en-GB"/>
        </w:rPr>
        <w:t>OTP and PTC I</w:t>
      </w:r>
      <w:r w:rsidR="003F513B" w:rsidRPr="00FD1F6E">
        <w:rPr>
          <w:rFonts w:ascii="Times New Roman" w:hAnsi="Times New Roman" w:cs="Times New Roman"/>
          <w:sz w:val="24"/>
          <w:szCs w:val="24"/>
          <w:lang w:val="en-GB"/>
        </w:rPr>
        <w:t xml:space="preserve">, and </w:t>
      </w:r>
      <w:r w:rsidR="003671C9">
        <w:rPr>
          <w:rFonts w:ascii="Times New Roman" w:hAnsi="Times New Roman" w:cs="Times New Roman"/>
          <w:sz w:val="24"/>
          <w:szCs w:val="24"/>
          <w:lang w:val="en-GB"/>
        </w:rPr>
        <w:t xml:space="preserve">will </w:t>
      </w:r>
      <w:r w:rsidR="003F513B" w:rsidRPr="00FD1F6E">
        <w:rPr>
          <w:rFonts w:ascii="Times New Roman" w:hAnsi="Times New Roman" w:cs="Times New Roman"/>
          <w:sz w:val="24"/>
          <w:szCs w:val="24"/>
          <w:lang w:val="en-GB"/>
        </w:rPr>
        <w:t xml:space="preserve">then present </w:t>
      </w:r>
      <w:r w:rsidR="003671C9">
        <w:rPr>
          <w:rFonts w:ascii="Times New Roman" w:hAnsi="Times New Roman" w:cs="Times New Roman"/>
          <w:sz w:val="24"/>
          <w:szCs w:val="24"/>
          <w:lang w:val="en-GB"/>
        </w:rPr>
        <w:t xml:space="preserve">an </w:t>
      </w:r>
      <w:r w:rsidRPr="00FD1F6E">
        <w:rPr>
          <w:rFonts w:ascii="Times New Roman" w:hAnsi="Times New Roman" w:cs="Times New Roman"/>
          <w:sz w:val="24"/>
          <w:szCs w:val="24"/>
          <w:lang w:val="en-GB"/>
        </w:rPr>
        <w:t>alternative perspective.</w:t>
      </w:r>
    </w:p>
    <w:p w:rsidR="00956F99" w:rsidRPr="00FD1F6E" w:rsidRDefault="004C6CEE"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   </w:t>
      </w:r>
      <w:r w:rsidR="00956F99" w:rsidRPr="00FD1F6E">
        <w:rPr>
          <w:rFonts w:ascii="Times New Roman" w:hAnsi="Times New Roman" w:cs="Times New Roman"/>
          <w:sz w:val="24"/>
          <w:szCs w:val="24"/>
          <w:lang w:val="en-GB"/>
        </w:rPr>
        <w:t xml:space="preserve"> </w:t>
      </w:r>
    </w:p>
    <w:p w:rsidR="007D464C" w:rsidRPr="00FD1F6E" w:rsidRDefault="008B186B" w:rsidP="00CA0198">
      <w:pPr>
        <w:spacing w:after="0" w:line="360" w:lineRule="auto"/>
        <w:jc w:val="both"/>
        <w:rPr>
          <w:rFonts w:ascii="Times New Roman" w:hAnsi="Times New Roman" w:cs="Times New Roman"/>
          <w:b/>
          <w:sz w:val="24"/>
          <w:szCs w:val="24"/>
          <w:lang w:val="en-GB"/>
        </w:rPr>
      </w:pPr>
      <w:r w:rsidRPr="00FD1F6E">
        <w:rPr>
          <w:rFonts w:ascii="Times New Roman" w:hAnsi="Times New Roman" w:cs="Times New Roman"/>
          <w:b/>
          <w:sz w:val="24"/>
          <w:szCs w:val="24"/>
          <w:lang w:val="en-GB"/>
        </w:rPr>
        <w:t>3</w:t>
      </w:r>
      <w:r w:rsidR="007D464C" w:rsidRPr="00FD1F6E">
        <w:rPr>
          <w:rFonts w:ascii="Times New Roman" w:hAnsi="Times New Roman" w:cs="Times New Roman"/>
          <w:b/>
          <w:sz w:val="24"/>
          <w:szCs w:val="24"/>
          <w:lang w:val="en-GB"/>
        </w:rPr>
        <w:t xml:space="preserve">. The </w:t>
      </w:r>
      <w:r w:rsidR="00941354" w:rsidRPr="00FD1F6E">
        <w:rPr>
          <w:rFonts w:ascii="Times New Roman" w:hAnsi="Times New Roman" w:cs="Times New Roman"/>
          <w:b/>
          <w:sz w:val="24"/>
          <w:szCs w:val="24"/>
          <w:lang w:val="en-GB"/>
        </w:rPr>
        <w:t>OT</w:t>
      </w:r>
      <w:r w:rsidR="007D464C" w:rsidRPr="00FD1F6E">
        <w:rPr>
          <w:rFonts w:ascii="Times New Roman" w:hAnsi="Times New Roman" w:cs="Times New Roman"/>
          <w:b/>
          <w:sz w:val="24"/>
          <w:szCs w:val="24"/>
          <w:lang w:val="en-GB"/>
        </w:rPr>
        <w:t xml:space="preserve">P’s </w:t>
      </w:r>
      <w:r w:rsidR="0024040B" w:rsidRPr="00FD1F6E">
        <w:rPr>
          <w:rFonts w:ascii="Times New Roman" w:hAnsi="Times New Roman" w:cs="Times New Roman"/>
          <w:b/>
          <w:sz w:val="24"/>
          <w:szCs w:val="24"/>
          <w:lang w:val="en-GB"/>
        </w:rPr>
        <w:t>Opinion Regarding</w:t>
      </w:r>
      <w:r w:rsidR="007D464C" w:rsidRPr="00FD1F6E">
        <w:rPr>
          <w:rFonts w:ascii="Times New Roman" w:hAnsi="Times New Roman" w:cs="Times New Roman"/>
          <w:b/>
          <w:sz w:val="24"/>
          <w:szCs w:val="24"/>
          <w:lang w:val="en-GB"/>
        </w:rPr>
        <w:t xml:space="preserve"> the </w:t>
      </w:r>
      <w:r w:rsidR="0024040B" w:rsidRPr="00FD1F6E">
        <w:rPr>
          <w:rFonts w:ascii="Times New Roman" w:hAnsi="Times New Roman" w:cs="Times New Roman"/>
          <w:b/>
          <w:sz w:val="24"/>
          <w:szCs w:val="24"/>
          <w:lang w:val="en-GB"/>
        </w:rPr>
        <w:t>Gravity I</w:t>
      </w:r>
      <w:r w:rsidR="007D464C" w:rsidRPr="00FD1F6E">
        <w:rPr>
          <w:rFonts w:ascii="Times New Roman" w:hAnsi="Times New Roman" w:cs="Times New Roman"/>
          <w:b/>
          <w:sz w:val="24"/>
          <w:szCs w:val="24"/>
          <w:lang w:val="en-GB"/>
        </w:rPr>
        <w:t xml:space="preserve">ssue in the </w:t>
      </w:r>
      <w:r w:rsidR="007D464C" w:rsidRPr="00FD1F6E">
        <w:rPr>
          <w:rFonts w:ascii="Times New Roman" w:hAnsi="Times New Roman" w:cs="Times New Roman"/>
          <w:b/>
          <w:i/>
          <w:sz w:val="24"/>
          <w:szCs w:val="24"/>
          <w:lang w:val="en-GB"/>
        </w:rPr>
        <w:t>Mavi Marmara</w:t>
      </w:r>
      <w:r w:rsidR="0093389F" w:rsidRPr="00FD1F6E">
        <w:rPr>
          <w:rFonts w:ascii="Times New Roman" w:hAnsi="Times New Roman" w:cs="Times New Roman"/>
          <w:b/>
          <w:sz w:val="24"/>
          <w:szCs w:val="24"/>
          <w:lang w:val="en-GB"/>
        </w:rPr>
        <w:t xml:space="preserve"> </w:t>
      </w:r>
      <w:r w:rsidR="0029376C" w:rsidRPr="00FD1F6E">
        <w:rPr>
          <w:rFonts w:ascii="Times New Roman" w:hAnsi="Times New Roman" w:cs="Times New Roman"/>
          <w:b/>
          <w:sz w:val="24"/>
          <w:szCs w:val="24"/>
          <w:lang w:val="en-GB"/>
        </w:rPr>
        <w:t>Affaire</w:t>
      </w:r>
    </w:p>
    <w:p w:rsidR="0093389F" w:rsidRPr="00FD1F6E" w:rsidRDefault="006E70E4"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The Decision Not to Investigate analyses admissibility in </w:t>
      </w:r>
      <w:r w:rsidR="00393F9B">
        <w:rPr>
          <w:rFonts w:ascii="Times New Roman" w:hAnsi="Times New Roman" w:cs="Times New Roman"/>
          <w:sz w:val="24"/>
          <w:szCs w:val="24"/>
          <w:lang w:val="en-GB"/>
        </w:rPr>
        <w:t>sixteen</w:t>
      </w:r>
      <w:r w:rsidRPr="00FD1F6E">
        <w:rPr>
          <w:rFonts w:ascii="Times New Roman" w:hAnsi="Times New Roman" w:cs="Times New Roman"/>
          <w:sz w:val="24"/>
          <w:szCs w:val="24"/>
          <w:lang w:val="en-GB"/>
        </w:rPr>
        <w:t xml:space="preserve"> paragraphs,</w:t>
      </w:r>
      <w:r w:rsidRPr="00FD1F6E">
        <w:rPr>
          <w:rStyle w:val="Rimandonotaapidipagina"/>
          <w:rFonts w:ascii="Times New Roman" w:hAnsi="Times New Roman" w:cs="Times New Roman"/>
          <w:sz w:val="24"/>
          <w:szCs w:val="24"/>
          <w:lang w:val="en-GB"/>
        </w:rPr>
        <w:footnoteReference w:id="17"/>
      </w:r>
      <w:r w:rsidRPr="00FD1F6E">
        <w:rPr>
          <w:rFonts w:ascii="Times New Roman" w:hAnsi="Times New Roman" w:cs="Times New Roman"/>
          <w:sz w:val="24"/>
          <w:szCs w:val="24"/>
          <w:lang w:val="en-GB"/>
        </w:rPr>
        <w:t xml:space="preserve"> </w:t>
      </w:r>
      <w:r w:rsidR="00D0671D" w:rsidRPr="00FD1F6E">
        <w:rPr>
          <w:rFonts w:ascii="Times New Roman" w:hAnsi="Times New Roman" w:cs="Times New Roman"/>
          <w:sz w:val="24"/>
          <w:szCs w:val="24"/>
          <w:lang w:val="en-GB"/>
        </w:rPr>
        <w:t xml:space="preserve">of which </w:t>
      </w:r>
      <w:r w:rsidR="00393F9B">
        <w:rPr>
          <w:rFonts w:ascii="Times New Roman" w:hAnsi="Times New Roman" w:cs="Times New Roman"/>
          <w:sz w:val="24"/>
          <w:szCs w:val="24"/>
          <w:lang w:val="en-GB"/>
        </w:rPr>
        <w:t>fifteen</w:t>
      </w:r>
      <w:r w:rsidRPr="00FD1F6E">
        <w:rPr>
          <w:rFonts w:ascii="Times New Roman" w:hAnsi="Times New Roman" w:cs="Times New Roman"/>
          <w:sz w:val="24"/>
          <w:szCs w:val="24"/>
          <w:lang w:val="en-GB"/>
        </w:rPr>
        <w:t xml:space="preserve"> are dedicated to the</w:t>
      </w:r>
      <w:r w:rsidR="00D0671D">
        <w:rPr>
          <w:rFonts w:ascii="Times New Roman" w:hAnsi="Times New Roman" w:cs="Times New Roman"/>
          <w:sz w:val="24"/>
          <w:szCs w:val="24"/>
          <w:lang w:val="en-GB"/>
        </w:rPr>
        <w:t xml:space="preserve"> question of </w:t>
      </w:r>
      <w:r w:rsidRPr="00FD1F6E">
        <w:rPr>
          <w:rFonts w:ascii="Times New Roman" w:hAnsi="Times New Roman" w:cs="Times New Roman"/>
          <w:sz w:val="24"/>
          <w:szCs w:val="24"/>
          <w:lang w:val="en-GB"/>
        </w:rPr>
        <w:t>gravity</w:t>
      </w:r>
      <w:r w:rsidR="00D0671D">
        <w:rPr>
          <w:rFonts w:ascii="Times New Roman" w:hAnsi="Times New Roman" w:cs="Times New Roman"/>
          <w:sz w:val="24"/>
          <w:szCs w:val="24"/>
          <w:lang w:val="en-GB"/>
        </w:rPr>
        <w:t xml:space="preserve"> and j</w:t>
      </w:r>
      <w:r w:rsidRPr="00FD1F6E">
        <w:rPr>
          <w:rFonts w:ascii="Times New Roman" w:hAnsi="Times New Roman" w:cs="Times New Roman"/>
          <w:sz w:val="24"/>
          <w:szCs w:val="24"/>
          <w:lang w:val="en-GB"/>
        </w:rPr>
        <w:t xml:space="preserve">ust one </w:t>
      </w:r>
      <w:r w:rsidR="00D0671D">
        <w:rPr>
          <w:rFonts w:ascii="Times New Roman" w:hAnsi="Times New Roman" w:cs="Times New Roman"/>
          <w:sz w:val="24"/>
          <w:szCs w:val="24"/>
          <w:lang w:val="en-GB"/>
        </w:rPr>
        <w:t>to</w:t>
      </w:r>
      <w:r w:rsidRPr="00FD1F6E">
        <w:rPr>
          <w:rFonts w:ascii="Times New Roman" w:hAnsi="Times New Roman" w:cs="Times New Roman"/>
          <w:sz w:val="24"/>
          <w:szCs w:val="24"/>
          <w:lang w:val="en-GB"/>
        </w:rPr>
        <w:t xml:space="preserve"> complementarity.</w:t>
      </w:r>
      <w:r w:rsidR="003F6581" w:rsidRPr="00FD1F6E">
        <w:rPr>
          <w:rStyle w:val="Rimandonotaapidipagina"/>
          <w:rFonts w:ascii="Times New Roman" w:hAnsi="Times New Roman" w:cs="Times New Roman"/>
          <w:sz w:val="24"/>
          <w:szCs w:val="24"/>
          <w:lang w:val="en-GB"/>
        </w:rPr>
        <w:footnoteReference w:id="18"/>
      </w:r>
    </w:p>
    <w:p w:rsidR="00D0671D" w:rsidRDefault="00D0671D" w:rsidP="007B5474">
      <w:pPr>
        <w:spacing w:after="0" w:line="360" w:lineRule="auto"/>
        <w:jc w:val="both"/>
        <w:rPr>
          <w:rFonts w:ascii="Times New Roman" w:hAnsi="Times New Roman" w:cs="Times New Roman"/>
          <w:sz w:val="24"/>
          <w:szCs w:val="24"/>
          <w:lang w:val="en-GB"/>
        </w:rPr>
      </w:pPr>
    </w:p>
    <w:p w:rsidR="00D15604" w:rsidRDefault="004506E3" w:rsidP="00D15604">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In accordance </w:t>
      </w:r>
      <w:r w:rsidR="003F6581" w:rsidRPr="00FD1F6E">
        <w:rPr>
          <w:rFonts w:ascii="Times New Roman" w:hAnsi="Times New Roman" w:cs="Times New Roman"/>
          <w:sz w:val="24"/>
          <w:szCs w:val="24"/>
          <w:lang w:val="en-GB"/>
        </w:rPr>
        <w:t>with ICC case</w:t>
      </w:r>
      <w:r w:rsidRPr="00FD1F6E">
        <w:rPr>
          <w:rFonts w:ascii="Times New Roman" w:hAnsi="Times New Roman" w:cs="Times New Roman"/>
          <w:sz w:val="24"/>
          <w:szCs w:val="24"/>
          <w:lang w:val="en-GB"/>
        </w:rPr>
        <w:t xml:space="preserve"> </w:t>
      </w:r>
      <w:r w:rsidR="003F6581" w:rsidRPr="00FD1F6E">
        <w:rPr>
          <w:rFonts w:ascii="Times New Roman" w:hAnsi="Times New Roman" w:cs="Times New Roman"/>
          <w:sz w:val="24"/>
          <w:szCs w:val="24"/>
          <w:lang w:val="en-GB"/>
        </w:rPr>
        <w:t xml:space="preserve">law, the </w:t>
      </w:r>
      <w:r w:rsidR="00562EEB" w:rsidRPr="00FD1F6E">
        <w:rPr>
          <w:rFonts w:ascii="Times New Roman" w:hAnsi="Times New Roman" w:cs="Times New Roman"/>
          <w:sz w:val="24"/>
          <w:szCs w:val="24"/>
          <w:lang w:val="en-GB"/>
        </w:rPr>
        <w:t>O</w:t>
      </w:r>
      <w:r w:rsidR="00941354" w:rsidRPr="00FD1F6E">
        <w:rPr>
          <w:rFonts w:ascii="Times New Roman" w:hAnsi="Times New Roman" w:cs="Times New Roman"/>
          <w:sz w:val="24"/>
          <w:szCs w:val="24"/>
          <w:lang w:val="en-GB"/>
        </w:rPr>
        <w:t>TP</w:t>
      </w:r>
      <w:r w:rsidR="003F6581" w:rsidRPr="00FD1F6E">
        <w:rPr>
          <w:rFonts w:ascii="Times New Roman" w:hAnsi="Times New Roman" w:cs="Times New Roman"/>
          <w:sz w:val="24"/>
          <w:szCs w:val="24"/>
          <w:lang w:val="en-GB"/>
        </w:rPr>
        <w:t xml:space="preserve"> affirmed that gravity </w:t>
      </w:r>
      <w:r w:rsidR="000C7DE1" w:rsidRPr="00FD1F6E">
        <w:rPr>
          <w:rFonts w:ascii="Times New Roman" w:hAnsi="Times New Roman" w:cs="Times New Roman"/>
          <w:sz w:val="24"/>
          <w:szCs w:val="24"/>
          <w:lang w:val="en-GB"/>
        </w:rPr>
        <w:t>mu</w:t>
      </w:r>
      <w:r w:rsidR="003F6581" w:rsidRPr="00FD1F6E">
        <w:rPr>
          <w:rFonts w:ascii="Times New Roman" w:hAnsi="Times New Roman" w:cs="Times New Roman"/>
          <w:sz w:val="24"/>
          <w:szCs w:val="24"/>
          <w:lang w:val="en-GB"/>
        </w:rPr>
        <w:t>s</w:t>
      </w:r>
      <w:r w:rsidR="000C7DE1" w:rsidRPr="00FD1F6E">
        <w:rPr>
          <w:rFonts w:ascii="Times New Roman" w:hAnsi="Times New Roman" w:cs="Times New Roman"/>
          <w:sz w:val="24"/>
          <w:szCs w:val="24"/>
          <w:lang w:val="en-GB"/>
        </w:rPr>
        <w:t>t</w:t>
      </w:r>
      <w:r w:rsidR="003F6581" w:rsidRPr="00FD1F6E">
        <w:rPr>
          <w:rFonts w:ascii="Times New Roman" w:hAnsi="Times New Roman" w:cs="Times New Roman"/>
          <w:sz w:val="24"/>
          <w:szCs w:val="24"/>
          <w:lang w:val="en-GB"/>
        </w:rPr>
        <w:t xml:space="preserve"> not</w:t>
      </w:r>
      <w:r w:rsidR="000C7DE1" w:rsidRPr="00FD1F6E">
        <w:rPr>
          <w:rFonts w:ascii="Times New Roman" w:hAnsi="Times New Roman" w:cs="Times New Roman"/>
          <w:sz w:val="24"/>
          <w:szCs w:val="24"/>
          <w:lang w:val="en-GB"/>
        </w:rPr>
        <w:t xml:space="preserve"> be evaluated</w:t>
      </w:r>
      <w:r w:rsidR="003F6581" w:rsidRPr="00FD1F6E">
        <w:rPr>
          <w:rFonts w:ascii="Times New Roman" w:hAnsi="Times New Roman" w:cs="Times New Roman"/>
          <w:sz w:val="24"/>
          <w:szCs w:val="24"/>
          <w:lang w:val="en-GB"/>
        </w:rPr>
        <w:t xml:space="preserve"> only </w:t>
      </w:r>
      <w:r w:rsidR="000C7DE1" w:rsidRPr="00FD1F6E">
        <w:rPr>
          <w:rFonts w:ascii="Times New Roman" w:hAnsi="Times New Roman" w:cs="Times New Roman"/>
          <w:sz w:val="24"/>
          <w:szCs w:val="24"/>
          <w:lang w:val="en-GB"/>
        </w:rPr>
        <w:t xml:space="preserve">from </w:t>
      </w:r>
      <w:r w:rsidR="003F6581" w:rsidRPr="00FD1F6E">
        <w:rPr>
          <w:rFonts w:ascii="Times New Roman" w:hAnsi="Times New Roman" w:cs="Times New Roman"/>
          <w:sz w:val="24"/>
          <w:szCs w:val="24"/>
          <w:lang w:val="en-GB"/>
        </w:rPr>
        <w:t>a quantitative</w:t>
      </w:r>
      <w:r w:rsidR="000C7DE1" w:rsidRPr="00FD1F6E">
        <w:rPr>
          <w:rFonts w:ascii="Times New Roman" w:hAnsi="Times New Roman" w:cs="Times New Roman"/>
          <w:sz w:val="24"/>
          <w:szCs w:val="24"/>
          <w:lang w:val="en-GB"/>
        </w:rPr>
        <w:t xml:space="preserve"> perspective, </w:t>
      </w:r>
      <w:r w:rsidR="004750A6" w:rsidRPr="00FD1F6E">
        <w:rPr>
          <w:rFonts w:ascii="Times New Roman" w:hAnsi="Times New Roman" w:cs="Times New Roman"/>
          <w:sz w:val="24"/>
          <w:szCs w:val="24"/>
          <w:lang w:val="en-GB"/>
        </w:rPr>
        <w:t>with regard</w:t>
      </w:r>
      <w:r w:rsidR="000C7DE1" w:rsidRPr="00FD1F6E">
        <w:rPr>
          <w:rFonts w:ascii="Times New Roman" w:hAnsi="Times New Roman" w:cs="Times New Roman"/>
          <w:sz w:val="24"/>
          <w:szCs w:val="24"/>
          <w:lang w:val="en-GB"/>
        </w:rPr>
        <w:t xml:space="preserve"> </w:t>
      </w:r>
      <w:r w:rsidR="004750A6" w:rsidRPr="00FD1F6E">
        <w:rPr>
          <w:rFonts w:ascii="Times New Roman" w:hAnsi="Times New Roman" w:cs="Times New Roman"/>
          <w:sz w:val="24"/>
          <w:szCs w:val="24"/>
          <w:lang w:val="en-GB"/>
        </w:rPr>
        <w:t>only for the</w:t>
      </w:r>
      <w:r w:rsidR="000C7DE1" w:rsidRPr="00FD1F6E">
        <w:rPr>
          <w:rFonts w:ascii="Times New Roman" w:hAnsi="Times New Roman" w:cs="Times New Roman"/>
          <w:sz w:val="24"/>
          <w:szCs w:val="24"/>
          <w:lang w:val="en-GB"/>
        </w:rPr>
        <w:t xml:space="preserve"> </w:t>
      </w:r>
      <w:r w:rsidR="003F6581" w:rsidRPr="00FD1F6E">
        <w:rPr>
          <w:rFonts w:ascii="Times New Roman" w:hAnsi="Times New Roman" w:cs="Times New Roman"/>
          <w:sz w:val="24"/>
          <w:szCs w:val="24"/>
          <w:lang w:val="en-GB"/>
        </w:rPr>
        <w:t>number of victims, but also</w:t>
      </w:r>
      <w:r w:rsidR="004750A6" w:rsidRPr="00FD1F6E">
        <w:rPr>
          <w:rFonts w:ascii="Times New Roman" w:hAnsi="Times New Roman" w:cs="Times New Roman"/>
          <w:sz w:val="24"/>
          <w:szCs w:val="24"/>
          <w:lang w:val="en-GB"/>
        </w:rPr>
        <w:t xml:space="preserve"> must</w:t>
      </w:r>
      <w:r w:rsidR="003F6581" w:rsidRPr="00FD1F6E">
        <w:rPr>
          <w:rFonts w:ascii="Times New Roman" w:hAnsi="Times New Roman" w:cs="Times New Roman"/>
          <w:sz w:val="24"/>
          <w:szCs w:val="24"/>
          <w:lang w:val="en-GB"/>
        </w:rPr>
        <w:t xml:space="preserve"> comprise qualitative considerations about the scale, nature, manner of commission</w:t>
      </w:r>
      <w:r w:rsidR="004750A6" w:rsidRPr="00FD1F6E">
        <w:rPr>
          <w:rFonts w:ascii="Times New Roman" w:hAnsi="Times New Roman" w:cs="Times New Roman"/>
          <w:sz w:val="24"/>
          <w:szCs w:val="24"/>
          <w:lang w:val="en-GB"/>
        </w:rPr>
        <w:t>, and impact</w:t>
      </w:r>
      <w:r w:rsidR="003F6581" w:rsidRPr="00FD1F6E">
        <w:rPr>
          <w:rFonts w:ascii="Times New Roman" w:hAnsi="Times New Roman" w:cs="Times New Roman"/>
          <w:sz w:val="24"/>
          <w:szCs w:val="24"/>
          <w:lang w:val="en-GB"/>
        </w:rPr>
        <w:t xml:space="preserve"> of the crimes.</w:t>
      </w:r>
      <w:r w:rsidR="003F6581" w:rsidRPr="00FD1F6E">
        <w:rPr>
          <w:rStyle w:val="Rimandonotaapidipagina"/>
          <w:rFonts w:ascii="Times New Roman" w:hAnsi="Times New Roman" w:cs="Times New Roman"/>
          <w:sz w:val="24"/>
          <w:szCs w:val="24"/>
          <w:lang w:val="en-GB"/>
        </w:rPr>
        <w:footnoteReference w:id="19"/>
      </w:r>
      <w:r w:rsidR="003F6581" w:rsidRPr="00FD1F6E">
        <w:rPr>
          <w:rFonts w:ascii="Times New Roman" w:hAnsi="Times New Roman" w:cs="Times New Roman"/>
          <w:sz w:val="24"/>
          <w:szCs w:val="24"/>
          <w:lang w:val="en-GB"/>
        </w:rPr>
        <w:t xml:space="preserve"> The </w:t>
      </w:r>
      <w:r w:rsidR="00941354" w:rsidRPr="00FD1F6E">
        <w:rPr>
          <w:rFonts w:ascii="Times New Roman" w:hAnsi="Times New Roman" w:cs="Times New Roman"/>
          <w:sz w:val="24"/>
          <w:szCs w:val="24"/>
          <w:lang w:val="en-GB"/>
        </w:rPr>
        <w:t>OTP</w:t>
      </w:r>
      <w:r w:rsidR="00910C23" w:rsidRPr="00FD1F6E">
        <w:rPr>
          <w:rFonts w:ascii="Times New Roman" w:hAnsi="Times New Roman" w:cs="Times New Roman"/>
          <w:sz w:val="24"/>
          <w:szCs w:val="24"/>
          <w:lang w:val="en-GB"/>
        </w:rPr>
        <w:t xml:space="preserve"> </w:t>
      </w:r>
      <w:r w:rsidR="006E70E4" w:rsidRPr="00FD1F6E">
        <w:rPr>
          <w:rFonts w:ascii="Times New Roman" w:hAnsi="Times New Roman" w:cs="Times New Roman"/>
          <w:sz w:val="24"/>
          <w:szCs w:val="24"/>
          <w:lang w:val="en-GB"/>
        </w:rPr>
        <w:t>also noted</w:t>
      </w:r>
      <w:r w:rsidR="00910C23" w:rsidRPr="00FD1F6E">
        <w:rPr>
          <w:rFonts w:ascii="Times New Roman" w:hAnsi="Times New Roman" w:cs="Times New Roman"/>
          <w:sz w:val="24"/>
          <w:szCs w:val="24"/>
          <w:lang w:val="en-GB"/>
        </w:rPr>
        <w:t xml:space="preserve"> that Article 8(1) stipulates that ‘the Court shall have jurisdiction in respect of war crimes </w:t>
      </w:r>
      <w:r w:rsidR="00910C23" w:rsidRPr="00FD1F6E">
        <w:rPr>
          <w:rFonts w:ascii="Times New Roman" w:hAnsi="Times New Roman" w:cs="Times New Roman"/>
          <w:i/>
          <w:sz w:val="24"/>
          <w:szCs w:val="24"/>
          <w:lang w:val="en-GB"/>
        </w:rPr>
        <w:t>in particular when committed as part of a plan or policy or as part of a large-scale commission of such crimes</w:t>
      </w:r>
      <w:r w:rsidR="00910C23" w:rsidRPr="00FD1F6E">
        <w:rPr>
          <w:rFonts w:ascii="Times New Roman" w:hAnsi="Times New Roman" w:cs="Times New Roman"/>
          <w:sz w:val="24"/>
          <w:szCs w:val="24"/>
          <w:lang w:val="en-GB"/>
        </w:rPr>
        <w:t>’.</w:t>
      </w:r>
      <w:r w:rsidR="00910C23" w:rsidRPr="00FD1F6E">
        <w:rPr>
          <w:rStyle w:val="Rimandonotaapidipagina"/>
          <w:rFonts w:ascii="Times New Roman" w:hAnsi="Times New Roman" w:cs="Times New Roman"/>
          <w:sz w:val="24"/>
          <w:szCs w:val="24"/>
          <w:lang w:val="en-GB"/>
        </w:rPr>
        <w:footnoteReference w:id="20"/>
      </w:r>
      <w:r w:rsidR="00941354" w:rsidRPr="00FD1F6E">
        <w:rPr>
          <w:rFonts w:ascii="Times New Roman" w:hAnsi="Times New Roman" w:cs="Times New Roman"/>
          <w:sz w:val="24"/>
          <w:szCs w:val="24"/>
          <w:lang w:val="en-GB"/>
        </w:rPr>
        <w:t xml:space="preserve"> </w:t>
      </w:r>
      <w:r w:rsidR="00D0671D">
        <w:rPr>
          <w:rFonts w:ascii="Times New Roman" w:hAnsi="Times New Roman" w:cs="Times New Roman"/>
          <w:sz w:val="24"/>
          <w:szCs w:val="24"/>
          <w:lang w:val="en-GB"/>
        </w:rPr>
        <w:t>A</w:t>
      </w:r>
      <w:r w:rsidR="00910C23" w:rsidRPr="00FD1F6E">
        <w:rPr>
          <w:rFonts w:ascii="Times New Roman" w:hAnsi="Times New Roman" w:cs="Times New Roman"/>
          <w:sz w:val="24"/>
          <w:szCs w:val="24"/>
          <w:lang w:val="en-GB"/>
        </w:rPr>
        <w:t>cknowledg</w:t>
      </w:r>
      <w:r w:rsidR="00D0671D">
        <w:rPr>
          <w:rFonts w:ascii="Times New Roman" w:hAnsi="Times New Roman" w:cs="Times New Roman"/>
          <w:sz w:val="24"/>
          <w:szCs w:val="24"/>
          <w:lang w:val="en-GB"/>
        </w:rPr>
        <w:t>ing</w:t>
      </w:r>
      <w:r w:rsidR="00910C23" w:rsidRPr="00FD1F6E">
        <w:rPr>
          <w:rFonts w:ascii="Times New Roman" w:hAnsi="Times New Roman" w:cs="Times New Roman"/>
          <w:sz w:val="24"/>
          <w:szCs w:val="24"/>
          <w:lang w:val="en-GB"/>
        </w:rPr>
        <w:t xml:space="preserve"> that </w:t>
      </w:r>
      <w:r w:rsidR="006E70E4" w:rsidRPr="00FD1F6E">
        <w:rPr>
          <w:rFonts w:ascii="Times New Roman" w:hAnsi="Times New Roman" w:cs="Times New Roman"/>
          <w:sz w:val="24"/>
          <w:szCs w:val="24"/>
          <w:lang w:val="en-GB"/>
        </w:rPr>
        <w:t>th</w:t>
      </w:r>
      <w:r w:rsidR="00D0671D">
        <w:rPr>
          <w:rFonts w:ascii="Times New Roman" w:hAnsi="Times New Roman" w:cs="Times New Roman"/>
          <w:sz w:val="24"/>
          <w:szCs w:val="24"/>
          <w:lang w:val="en-GB"/>
        </w:rPr>
        <w:t>e existence of a plan or policy</w:t>
      </w:r>
      <w:r w:rsidR="00D0671D" w:rsidRPr="00FD1F6E">
        <w:rPr>
          <w:rFonts w:ascii="Times New Roman" w:hAnsi="Times New Roman" w:cs="Times New Roman"/>
          <w:sz w:val="24"/>
          <w:szCs w:val="24"/>
          <w:lang w:val="en-GB"/>
        </w:rPr>
        <w:t xml:space="preserve"> </w:t>
      </w:r>
      <w:r w:rsidR="00910C23" w:rsidRPr="00FD1F6E">
        <w:rPr>
          <w:rFonts w:ascii="Times New Roman" w:hAnsi="Times New Roman" w:cs="Times New Roman"/>
          <w:sz w:val="24"/>
          <w:szCs w:val="24"/>
          <w:lang w:val="en-GB"/>
        </w:rPr>
        <w:t xml:space="preserve">is not </w:t>
      </w:r>
      <w:r w:rsidR="00514252" w:rsidRPr="00FD1F6E">
        <w:rPr>
          <w:rFonts w:ascii="Times New Roman" w:hAnsi="Times New Roman" w:cs="Times New Roman"/>
          <w:sz w:val="24"/>
          <w:szCs w:val="24"/>
          <w:lang w:val="en-GB"/>
        </w:rPr>
        <w:t>an</w:t>
      </w:r>
      <w:r w:rsidR="000C7DE1" w:rsidRPr="00FD1F6E">
        <w:rPr>
          <w:rFonts w:ascii="Times New Roman" w:hAnsi="Times New Roman" w:cs="Times New Roman"/>
          <w:sz w:val="24"/>
          <w:szCs w:val="24"/>
          <w:lang w:val="en-GB"/>
        </w:rPr>
        <w:t xml:space="preserve"> </w:t>
      </w:r>
      <w:r w:rsidR="00910C23" w:rsidRPr="00FD1F6E">
        <w:rPr>
          <w:rFonts w:ascii="Times New Roman" w:hAnsi="Times New Roman" w:cs="Times New Roman"/>
          <w:sz w:val="24"/>
          <w:szCs w:val="24"/>
          <w:lang w:val="en-GB"/>
        </w:rPr>
        <w:t xml:space="preserve">element of </w:t>
      </w:r>
      <w:r w:rsidR="00514252" w:rsidRPr="00FD1F6E">
        <w:rPr>
          <w:rFonts w:ascii="Times New Roman" w:hAnsi="Times New Roman" w:cs="Times New Roman"/>
          <w:sz w:val="24"/>
          <w:szCs w:val="24"/>
          <w:lang w:val="en-GB"/>
        </w:rPr>
        <w:t>war</w:t>
      </w:r>
      <w:r w:rsidR="00762B08" w:rsidRPr="00FD1F6E">
        <w:rPr>
          <w:rFonts w:ascii="Times New Roman" w:hAnsi="Times New Roman" w:cs="Times New Roman"/>
          <w:sz w:val="24"/>
          <w:szCs w:val="24"/>
          <w:lang w:val="en-GB"/>
        </w:rPr>
        <w:t xml:space="preserve"> </w:t>
      </w:r>
      <w:r w:rsidR="00910C23" w:rsidRPr="00FD1F6E">
        <w:rPr>
          <w:rFonts w:ascii="Times New Roman" w:hAnsi="Times New Roman" w:cs="Times New Roman"/>
          <w:sz w:val="24"/>
          <w:szCs w:val="24"/>
          <w:lang w:val="en-GB"/>
        </w:rPr>
        <w:t>crime</w:t>
      </w:r>
      <w:r w:rsidR="00762B08" w:rsidRPr="00FD1F6E">
        <w:rPr>
          <w:rFonts w:ascii="Times New Roman" w:hAnsi="Times New Roman" w:cs="Times New Roman"/>
          <w:sz w:val="24"/>
          <w:szCs w:val="24"/>
          <w:lang w:val="en-GB"/>
        </w:rPr>
        <w:t>s</w:t>
      </w:r>
      <w:r w:rsidR="00941354" w:rsidRPr="00FD1F6E">
        <w:rPr>
          <w:rFonts w:ascii="Times New Roman" w:hAnsi="Times New Roman" w:cs="Times New Roman"/>
          <w:sz w:val="24"/>
          <w:szCs w:val="24"/>
          <w:lang w:val="en-GB"/>
        </w:rPr>
        <w:t xml:space="preserve">, </w:t>
      </w:r>
      <w:r w:rsidR="00514252" w:rsidRPr="00FD1F6E">
        <w:rPr>
          <w:rFonts w:ascii="Times New Roman" w:hAnsi="Times New Roman" w:cs="Times New Roman"/>
          <w:sz w:val="24"/>
          <w:szCs w:val="24"/>
          <w:lang w:val="en-GB"/>
        </w:rPr>
        <w:t>the OTP</w:t>
      </w:r>
      <w:r w:rsidR="00910C23" w:rsidRPr="00FD1F6E">
        <w:rPr>
          <w:rFonts w:ascii="Times New Roman" w:hAnsi="Times New Roman" w:cs="Times New Roman"/>
          <w:sz w:val="24"/>
          <w:szCs w:val="24"/>
          <w:lang w:val="en-GB"/>
        </w:rPr>
        <w:t xml:space="preserve"> </w:t>
      </w:r>
      <w:r w:rsidRPr="00FD1F6E">
        <w:rPr>
          <w:rFonts w:ascii="Times New Roman" w:hAnsi="Times New Roman" w:cs="Times New Roman"/>
          <w:sz w:val="24"/>
          <w:szCs w:val="24"/>
          <w:lang w:val="en-GB"/>
        </w:rPr>
        <w:t xml:space="preserve">nevertheless </w:t>
      </w:r>
      <w:r w:rsidR="00910C23" w:rsidRPr="00FD1F6E">
        <w:rPr>
          <w:rFonts w:ascii="Times New Roman" w:hAnsi="Times New Roman" w:cs="Times New Roman"/>
          <w:sz w:val="24"/>
          <w:szCs w:val="24"/>
          <w:lang w:val="en-GB"/>
        </w:rPr>
        <w:t xml:space="preserve">considered </w:t>
      </w:r>
      <w:r w:rsidR="00762B08" w:rsidRPr="00FD1F6E">
        <w:rPr>
          <w:rFonts w:ascii="Times New Roman" w:hAnsi="Times New Roman" w:cs="Times New Roman"/>
          <w:sz w:val="24"/>
          <w:szCs w:val="24"/>
          <w:lang w:val="en-GB"/>
        </w:rPr>
        <w:t>i</w:t>
      </w:r>
      <w:r w:rsidR="00910C23" w:rsidRPr="00FD1F6E">
        <w:rPr>
          <w:rFonts w:ascii="Times New Roman" w:hAnsi="Times New Roman" w:cs="Times New Roman"/>
          <w:sz w:val="24"/>
          <w:szCs w:val="24"/>
          <w:lang w:val="en-GB"/>
        </w:rPr>
        <w:t>t relevant</w:t>
      </w:r>
      <w:r w:rsidR="00762B08" w:rsidRPr="00FD1F6E">
        <w:rPr>
          <w:rFonts w:ascii="Times New Roman" w:hAnsi="Times New Roman" w:cs="Times New Roman"/>
          <w:sz w:val="24"/>
          <w:szCs w:val="24"/>
          <w:lang w:val="en-GB"/>
        </w:rPr>
        <w:t xml:space="preserve"> </w:t>
      </w:r>
      <w:r w:rsidR="006E70E4" w:rsidRPr="00FD1F6E">
        <w:rPr>
          <w:rFonts w:ascii="Times New Roman" w:hAnsi="Times New Roman" w:cs="Times New Roman"/>
          <w:sz w:val="24"/>
          <w:szCs w:val="24"/>
          <w:lang w:val="en-GB"/>
        </w:rPr>
        <w:t xml:space="preserve">‘as statutory guidance indicating </w:t>
      </w:r>
      <w:r w:rsidR="006E70E4" w:rsidRPr="00FD1F6E">
        <w:rPr>
          <w:rFonts w:ascii="Times New Roman" w:hAnsi="Times New Roman" w:cs="Times New Roman"/>
          <w:sz w:val="24"/>
          <w:szCs w:val="24"/>
          <w:lang w:val="en-GB"/>
        </w:rPr>
        <w:lastRenderedPageBreak/>
        <w:t>that the Court should focus on war crimes meeting these requirements’</w:t>
      </w:r>
      <w:r w:rsidR="000C7DE1" w:rsidRPr="00FD1F6E">
        <w:rPr>
          <w:rFonts w:ascii="Times New Roman" w:hAnsi="Times New Roman" w:cs="Times New Roman"/>
          <w:sz w:val="24"/>
          <w:szCs w:val="24"/>
          <w:lang w:val="en-GB"/>
        </w:rPr>
        <w:t>.</w:t>
      </w:r>
      <w:r w:rsidR="006E70E4" w:rsidRPr="00FD1F6E">
        <w:rPr>
          <w:rStyle w:val="Rimandonotaapidipagina"/>
          <w:rFonts w:ascii="Times New Roman" w:hAnsi="Times New Roman" w:cs="Times New Roman"/>
          <w:sz w:val="24"/>
          <w:szCs w:val="24"/>
          <w:lang w:val="en-GB"/>
        </w:rPr>
        <w:footnoteReference w:id="21"/>
      </w:r>
      <w:r w:rsidR="000C7DE1" w:rsidRPr="00FD1F6E">
        <w:rPr>
          <w:rFonts w:ascii="Times New Roman" w:hAnsi="Times New Roman" w:cs="Times New Roman"/>
          <w:sz w:val="24"/>
          <w:szCs w:val="24"/>
          <w:lang w:val="en-GB"/>
        </w:rPr>
        <w:t xml:space="preserve"> </w:t>
      </w:r>
      <w:r w:rsidR="00D0671D">
        <w:rPr>
          <w:rFonts w:ascii="Times New Roman" w:hAnsi="Times New Roman" w:cs="Times New Roman"/>
          <w:sz w:val="24"/>
          <w:szCs w:val="24"/>
          <w:lang w:val="en-GB"/>
        </w:rPr>
        <w:t xml:space="preserve">The OTP found no reasonable basis to believe that there was such a plan or policy, stressing in this context that its analysis was based only on the events of the interception. In particular, the OTP did not consider any </w:t>
      </w:r>
      <w:r w:rsidR="007B5474" w:rsidRPr="00FD1F6E">
        <w:rPr>
          <w:rFonts w:ascii="Times New Roman" w:hAnsi="Times New Roman" w:cs="Times New Roman"/>
          <w:sz w:val="24"/>
          <w:szCs w:val="24"/>
          <w:lang w:val="en-GB"/>
        </w:rPr>
        <w:t>Israeli plan or policy in the Palestinian Territory,</w:t>
      </w:r>
      <w:r w:rsidR="00D0671D">
        <w:rPr>
          <w:rFonts w:ascii="Times New Roman" w:hAnsi="Times New Roman" w:cs="Times New Roman"/>
          <w:sz w:val="24"/>
          <w:szCs w:val="24"/>
          <w:lang w:val="en-GB"/>
        </w:rPr>
        <w:t xml:space="preserve"> a matter which (in 2014) it regarded as outside its </w:t>
      </w:r>
      <w:r w:rsidR="007B5474" w:rsidRPr="00FD1F6E">
        <w:rPr>
          <w:rFonts w:ascii="Times New Roman" w:hAnsi="Times New Roman" w:cs="Times New Roman"/>
          <w:sz w:val="24"/>
          <w:szCs w:val="24"/>
          <w:lang w:val="en-GB"/>
        </w:rPr>
        <w:t>jurisdiction.</w:t>
      </w:r>
      <w:r w:rsidR="00836572" w:rsidRPr="00FD1F6E">
        <w:rPr>
          <w:rStyle w:val="Rimandonotaapidipagina"/>
          <w:rFonts w:ascii="Times New Roman" w:hAnsi="Times New Roman" w:cs="Times New Roman"/>
          <w:sz w:val="24"/>
          <w:szCs w:val="24"/>
          <w:lang w:val="en-GB"/>
        </w:rPr>
        <w:footnoteReference w:id="22"/>
      </w:r>
      <w:r w:rsidR="00D15604">
        <w:rPr>
          <w:rFonts w:ascii="Times New Roman" w:hAnsi="Times New Roman" w:cs="Times New Roman"/>
          <w:sz w:val="24"/>
          <w:szCs w:val="24"/>
          <w:lang w:val="en-GB"/>
        </w:rPr>
        <w:t xml:space="preserve"> Indeed, one could argue that the limited territorial jurisdiction in this situation—</w:t>
      </w:r>
      <w:r w:rsidR="00D15604" w:rsidRPr="00FD1F6E">
        <w:rPr>
          <w:rFonts w:ascii="Times New Roman" w:hAnsi="Times New Roman" w:cs="Times New Roman"/>
          <w:sz w:val="24"/>
          <w:szCs w:val="24"/>
          <w:lang w:val="en-GB"/>
        </w:rPr>
        <w:t xml:space="preserve">the </w:t>
      </w:r>
      <w:r w:rsidR="00D15604" w:rsidRPr="00FD1F6E">
        <w:rPr>
          <w:rFonts w:ascii="Times New Roman" w:hAnsi="Times New Roman" w:cs="Times New Roman"/>
          <w:i/>
          <w:sz w:val="24"/>
          <w:szCs w:val="24"/>
          <w:lang w:val="en-GB"/>
        </w:rPr>
        <w:t>Mavi Marmara</w:t>
      </w:r>
      <w:r w:rsidR="00D15604" w:rsidRPr="00FD1F6E">
        <w:rPr>
          <w:rFonts w:ascii="Times New Roman" w:hAnsi="Times New Roman" w:cs="Times New Roman"/>
          <w:iCs/>
          <w:sz w:val="24"/>
          <w:szCs w:val="24"/>
          <w:lang w:val="en-GB"/>
        </w:rPr>
        <w:t>,</w:t>
      </w:r>
      <w:r w:rsidR="00D15604" w:rsidRPr="00FD1F6E">
        <w:rPr>
          <w:rFonts w:ascii="Times New Roman" w:hAnsi="Times New Roman" w:cs="Times New Roman"/>
          <w:sz w:val="24"/>
          <w:szCs w:val="24"/>
          <w:lang w:val="en-GB"/>
        </w:rPr>
        <w:t xml:space="preserve"> </w:t>
      </w:r>
      <w:r w:rsidR="00D15604">
        <w:rPr>
          <w:rFonts w:ascii="Times New Roman" w:hAnsi="Times New Roman" w:cs="Times New Roman"/>
          <w:sz w:val="24"/>
          <w:szCs w:val="24"/>
          <w:lang w:val="en-GB"/>
        </w:rPr>
        <w:t xml:space="preserve">and also </w:t>
      </w:r>
      <w:r w:rsidR="00D15604" w:rsidRPr="00FD1F6E">
        <w:rPr>
          <w:rFonts w:ascii="Times New Roman" w:hAnsi="Times New Roman" w:cs="Times New Roman"/>
          <w:sz w:val="24"/>
          <w:szCs w:val="24"/>
          <w:lang w:val="en-GB"/>
        </w:rPr>
        <w:t xml:space="preserve">the Greek vessel </w:t>
      </w:r>
      <w:r w:rsidR="00D15604" w:rsidRPr="00FD1F6E">
        <w:rPr>
          <w:rFonts w:ascii="Times New Roman" w:hAnsi="Times New Roman" w:cs="Times New Roman"/>
          <w:i/>
          <w:sz w:val="24"/>
          <w:szCs w:val="24"/>
          <w:lang w:val="en-GB"/>
        </w:rPr>
        <w:t>Eleftheri Mesogios</w:t>
      </w:r>
      <w:r w:rsidR="00D15604" w:rsidRPr="00FD1F6E">
        <w:rPr>
          <w:rFonts w:ascii="Times New Roman" w:hAnsi="Times New Roman" w:cs="Times New Roman"/>
          <w:sz w:val="24"/>
          <w:szCs w:val="24"/>
          <w:lang w:val="en-GB"/>
        </w:rPr>
        <w:t xml:space="preserve"> (also called </w:t>
      </w:r>
      <w:r w:rsidR="00D15604" w:rsidRPr="00FD1F6E">
        <w:rPr>
          <w:rFonts w:ascii="Times New Roman" w:hAnsi="Times New Roman" w:cs="Times New Roman"/>
          <w:i/>
          <w:sz w:val="24"/>
          <w:szCs w:val="24"/>
          <w:lang w:val="en-GB"/>
        </w:rPr>
        <w:t>Sofia</w:t>
      </w:r>
      <w:r w:rsidR="00D15604" w:rsidRPr="00FD1F6E">
        <w:rPr>
          <w:rFonts w:ascii="Times New Roman" w:hAnsi="Times New Roman" w:cs="Times New Roman"/>
          <w:sz w:val="24"/>
          <w:szCs w:val="24"/>
          <w:lang w:val="en-GB"/>
        </w:rPr>
        <w:t xml:space="preserve">), and the Cambodian-flagged </w:t>
      </w:r>
      <w:r w:rsidR="00D15604" w:rsidRPr="00FD1F6E">
        <w:rPr>
          <w:rFonts w:ascii="Times New Roman" w:hAnsi="Times New Roman" w:cs="Times New Roman"/>
          <w:i/>
          <w:iCs/>
          <w:sz w:val="24"/>
          <w:szCs w:val="24"/>
          <w:lang w:val="en-GB"/>
        </w:rPr>
        <w:t>Rachael Corrie</w:t>
      </w:r>
      <w:r w:rsidR="00D15604" w:rsidRPr="00D15604">
        <w:rPr>
          <w:rStyle w:val="Rimandonotaapidipagina"/>
          <w:rFonts w:ascii="Times New Roman" w:hAnsi="Times New Roman" w:cs="Times New Roman"/>
          <w:iCs/>
          <w:sz w:val="24"/>
          <w:szCs w:val="24"/>
          <w:lang w:val="en-GB"/>
        </w:rPr>
        <w:footnoteReference w:id="23"/>
      </w:r>
      <w:r w:rsidR="00D15604">
        <w:rPr>
          <w:rFonts w:ascii="Times New Roman" w:hAnsi="Times New Roman" w:cs="Times New Roman"/>
          <w:i/>
          <w:iCs/>
          <w:sz w:val="24"/>
          <w:szCs w:val="24"/>
          <w:lang w:val="en-GB"/>
        </w:rPr>
        <w:t>—</w:t>
      </w:r>
      <w:r w:rsidR="00D15604">
        <w:rPr>
          <w:rFonts w:ascii="Times New Roman" w:hAnsi="Times New Roman" w:cs="Times New Roman"/>
          <w:iCs/>
          <w:sz w:val="24"/>
          <w:szCs w:val="24"/>
          <w:lang w:val="en-GB"/>
        </w:rPr>
        <w:t>was a significant factor underlying the OTP’s analysis.</w:t>
      </w:r>
      <w:r w:rsidR="00D15604">
        <w:rPr>
          <w:rFonts w:ascii="Times New Roman" w:hAnsi="Times New Roman" w:cs="Times New Roman"/>
          <w:i/>
          <w:iCs/>
          <w:sz w:val="24"/>
          <w:szCs w:val="24"/>
          <w:lang w:val="en-GB"/>
        </w:rPr>
        <w:t xml:space="preserve"> </w:t>
      </w:r>
    </w:p>
    <w:p w:rsidR="00D15604" w:rsidRDefault="00D15604" w:rsidP="00FF2D84">
      <w:pPr>
        <w:spacing w:after="0" w:line="360" w:lineRule="auto"/>
        <w:jc w:val="both"/>
        <w:rPr>
          <w:rFonts w:ascii="Times New Roman" w:hAnsi="Times New Roman" w:cs="Times New Roman"/>
          <w:sz w:val="24"/>
          <w:szCs w:val="24"/>
          <w:lang w:val="en-GB"/>
        </w:rPr>
      </w:pPr>
    </w:p>
    <w:p w:rsidR="00D15604" w:rsidRDefault="00D15604" w:rsidP="00FF2D8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FD1F6E">
        <w:rPr>
          <w:rFonts w:ascii="Times New Roman" w:hAnsi="Times New Roman" w:cs="Times New Roman"/>
          <w:sz w:val="24"/>
          <w:szCs w:val="24"/>
          <w:lang w:val="en-GB"/>
        </w:rPr>
        <w:t xml:space="preserve">he OTP </w:t>
      </w:r>
      <w:r>
        <w:rPr>
          <w:rFonts w:ascii="Times New Roman" w:hAnsi="Times New Roman" w:cs="Times New Roman"/>
          <w:sz w:val="24"/>
          <w:szCs w:val="24"/>
          <w:lang w:val="en-GB"/>
        </w:rPr>
        <w:t xml:space="preserve">addressed each of the factors it stated to be relevant to the question </w:t>
      </w:r>
      <w:r w:rsidRPr="00FD1F6E">
        <w:rPr>
          <w:rFonts w:ascii="Times New Roman" w:hAnsi="Times New Roman" w:cs="Times New Roman"/>
          <w:sz w:val="24"/>
          <w:szCs w:val="24"/>
          <w:lang w:val="en-GB"/>
        </w:rPr>
        <w:t xml:space="preserve">of sufficient gravity. </w:t>
      </w:r>
      <w:r>
        <w:rPr>
          <w:rFonts w:ascii="Times New Roman" w:hAnsi="Times New Roman" w:cs="Times New Roman"/>
          <w:sz w:val="24"/>
          <w:szCs w:val="24"/>
          <w:lang w:val="en-GB"/>
        </w:rPr>
        <w:t>On</w:t>
      </w:r>
      <w:r w:rsidRPr="00FD1F6E">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matter of</w:t>
      </w:r>
      <w:r w:rsidRPr="00FD1F6E">
        <w:rPr>
          <w:rFonts w:ascii="Times New Roman" w:hAnsi="Times New Roman" w:cs="Times New Roman"/>
          <w:sz w:val="24"/>
          <w:szCs w:val="24"/>
          <w:lang w:val="en-GB"/>
        </w:rPr>
        <w:t xml:space="preserve"> scale, </w:t>
      </w:r>
      <w:r w:rsidR="00FF2D84" w:rsidRPr="00FD1F6E">
        <w:rPr>
          <w:rFonts w:ascii="Times New Roman" w:hAnsi="Times New Roman" w:cs="Times New Roman"/>
          <w:sz w:val="24"/>
          <w:szCs w:val="24"/>
          <w:lang w:val="en-GB"/>
        </w:rPr>
        <w:t xml:space="preserve">the OTP noted that </w:t>
      </w:r>
      <w:r w:rsidR="00836572" w:rsidRPr="00FD1F6E">
        <w:rPr>
          <w:rFonts w:ascii="Times New Roman" w:hAnsi="Times New Roman" w:cs="Times New Roman"/>
          <w:sz w:val="24"/>
          <w:szCs w:val="24"/>
          <w:lang w:val="en-GB"/>
        </w:rPr>
        <w:t>‘the total number of victims of the flotilla incident reached relatively limited proportions as compared, generally, to other cases investigated by the Office’</w:t>
      </w:r>
      <w:r w:rsidR="00FF2D84" w:rsidRPr="00FD1F6E">
        <w:rPr>
          <w:rFonts w:ascii="Times New Roman" w:hAnsi="Times New Roman" w:cs="Times New Roman"/>
          <w:sz w:val="24"/>
          <w:szCs w:val="24"/>
          <w:lang w:val="en-GB"/>
        </w:rPr>
        <w:t>.</w:t>
      </w:r>
      <w:r w:rsidR="00836572" w:rsidRPr="00FD1F6E">
        <w:rPr>
          <w:rStyle w:val="Rimandonotaapidipagina"/>
          <w:rFonts w:ascii="Times New Roman" w:hAnsi="Times New Roman" w:cs="Times New Roman"/>
          <w:sz w:val="24"/>
          <w:szCs w:val="24"/>
          <w:lang w:val="en-GB"/>
        </w:rPr>
        <w:footnoteReference w:id="24"/>
      </w:r>
      <w:r w:rsidR="00FF2D84" w:rsidRPr="00FD1F6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also observed </w:t>
      </w:r>
      <w:r w:rsidR="00FF2D84" w:rsidRPr="00FD1F6E">
        <w:rPr>
          <w:rFonts w:ascii="Times New Roman" w:hAnsi="Times New Roman" w:cs="Times New Roman"/>
          <w:sz w:val="24"/>
          <w:szCs w:val="24"/>
          <w:lang w:val="en-GB"/>
        </w:rPr>
        <w:t xml:space="preserve">that the interception and boarding of the </w:t>
      </w:r>
      <w:r w:rsidR="00FF2D84" w:rsidRPr="00FD1F6E">
        <w:rPr>
          <w:rFonts w:ascii="Times New Roman" w:hAnsi="Times New Roman" w:cs="Times New Roman"/>
          <w:i/>
          <w:sz w:val="24"/>
          <w:szCs w:val="24"/>
          <w:lang w:val="en-GB"/>
        </w:rPr>
        <w:t>Mavi Marmara</w:t>
      </w:r>
      <w:r w:rsidR="00FF2D84" w:rsidRPr="00FD1F6E">
        <w:rPr>
          <w:rFonts w:ascii="Times New Roman" w:hAnsi="Times New Roman" w:cs="Times New Roman"/>
          <w:sz w:val="24"/>
          <w:szCs w:val="24"/>
          <w:lang w:val="en-GB"/>
        </w:rPr>
        <w:t xml:space="preserve"> was a single event with a limited number of victims</w:t>
      </w:r>
      <w:r>
        <w:rPr>
          <w:rFonts w:ascii="Times New Roman" w:hAnsi="Times New Roman" w:cs="Times New Roman"/>
          <w:sz w:val="24"/>
          <w:szCs w:val="24"/>
          <w:lang w:val="en-GB"/>
        </w:rPr>
        <w:t>.</w:t>
      </w:r>
      <w:r w:rsidR="00FF2D84" w:rsidRPr="00FD1F6E">
        <w:rPr>
          <w:rStyle w:val="Rimandonotaapidipagina"/>
          <w:rFonts w:ascii="Times New Roman" w:hAnsi="Times New Roman" w:cs="Times New Roman"/>
          <w:sz w:val="24"/>
          <w:szCs w:val="24"/>
          <w:lang w:val="en-GB"/>
        </w:rPr>
        <w:footnoteReference w:id="25"/>
      </w:r>
      <w:r w:rsidR="00FF2D84" w:rsidRPr="00FD1F6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Although the OTP stressed that </w:t>
      </w:r>
      <w:r w:rsidRPr="00FD1F6E">
        <w:rPr>
          <w:rFonts w:ascii="Times New Roman" w:hAnsi="Times New Roman" w:cs="Times New Roman"/>
          <w:sz w:val="24"/>
          <w:szCs w:val="24"/>
          <w:lang w:val="en-GB"/>
        </w:rPr>
        <w:t>th</w:t>
      </w:r>
      <w:r>
        <w:rPr>
          <w:rFonts w:ascii="Times New Roman" w:hAnsi="Times New Roman" w:cs="Times New Roman"/>
          <w:sz w:val="24"/>
          <w:szCs w:val="24"/>
          <w:lang w:val="en-GB"/>
        </w:rPr>
        <w:t>ese</w:t>
      </w:r>
      <w:r w:rsidRPr="00FD1F6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numerical </w:t>
      </w:r>
      <w:r w:rsidRPr="00FD1F6E">
        <w:rPr>
          <w:rFonts w:ascii="Times New Roman" w:hAnsi="Times New Roman" w:cs="Times New Roman"/>
          <w:sz w:val="24"/>
          <w:szCs w:val="24"/>
          <w:lang w:val="en-GB"/>
        </w:rPr>
        <w:t>con</w:t>
      </w:r>
      <w:r>
        <w:rPr>
          <w:rFonts w:ascii="Times New Roman" w:hAnsi="Times New Roman" w:cs="Times New Roman"/>
          <w:sz w:val="24"/>
          <w:szCs w:val="24"/>
          <w:lang w:val="en-GB"/>
        </w:rPr>
        <w:t>siderations were not an absolute bar</w:t>
      </w:r>
      <w:r w:rsidRPr="00FD1F6E">
        <w:rPr>
          <w:rFonts w:ascii="Times New Roman" w:hAnsi="Times New Roman" w:cs="Times New Roman"/>
          <w:sz w:val="24"/>
          <w:szCs w:val="24"/>
          <w:lang w:val="en-GB"/>
        </w:rPr>
        <w:t xml:space="preserve"> to investigation, </w:t>
      </w:r>
      <w:r>
        <w:rPr>
          <w:rFonts w:ascii="Times New Roman" w:hAnsi="Times New Roman" w:cs="Times New Roman"/>
          <w:sz w:val="24"/>
          <w:szCs w:val="24"/>
          <w:lang w:val="en-GB"/>
        </w:rPr>
        <w:t xml:space="preserve">it looked instead for other factors which might affect the scale analysis. As an example, it recalled </w:t>
      </w:r>
      <w:r w:rsidR="00FF2D84" w:rsidRPr="00FD1F6E">
        <w:rPr>
          <w:rFonts w:ascii="Times New Roman" w:hAnsi="Times New Roman" w:cs="Times New Roman"/>
          <w:sz w:val="24"/>
          <w:szCs w:val="24"/>
          <w:lang w:val="en-GB"/>
        </w:rPr>
        <w:t xml:space="preserve">the </w:t>
      </w:r>
      <w:r w:rsidR="00FF2D84" w:rsidRPr="00FD1F6E">
        <w:rPr>
          <w:rFonts w:ascii="Times New Roman" w:hAnsi="Times New Roman" w:cs="Times New Roman"/>
          <w:i/>
          <w:sz w:val="24"/>
          <w:szCs w:val="24"/>
          <w:lang w:val="en-GB"/>
        </w:rPr>
        <w:t>Abu Garda et al</w:t>
      </w:r>
      <w:r>
        <w:rPr>
          <w:rFonts w:ascii="Times New Roman" w:hAnsi="Times New Roman" w:cs="Times New Roman"/>
          <w:i/>
          <w:sz w:val="24"/>
          <w:szCs w:val="24"/>
          <w:lang w:val="en-GB"/>
        </w:rPr>
        <w:t>.</w:t>
      </w:r>
      <w:r w:rsidR="00FF2D84" w:rsidRPr="00FD1F6E">
        <w:rPr>
          <w:rFonts w:ascii="Times New Roman" w:hAnsi="Times New Roman" w:cs="Times New Roman"/>
          <w:sz w:val="24"/>
          <w:szCs w:val="24"/>
          <w:lang w:val="en-GB"/>
        </w:rPr>
        <w:t xml:space="preserve"> case, when </w:t>
      </w:r>
      <w:r>
        <w:rPr>
          <w:rFonts w:ascii="Times New Roman" w:hAnsi="Times New Roman" w:cs="Times New Roman"/>
          <w:sz w:val="24"/>
          <w:szCs w:val="24"/>
          <w:lang w:val="en-GB"/>
        </w:rPr>
        <w:t xml:space="preserve">a smaller attack was nonetheless considered sufficiently grave due to the ‘spill-over’ effects of </w:t>
      </w:r>
      <w:r w:rsidR="00FF2D84" w:rsidRPr="00FD1F6E">
        <w:rPr>
          <w:rFonts w:ascii="Times New Roman" w:hAnsi="Times New Roman" w:cs="Times New Roman"/>
          <w:sz w:val="24"/>
          <w:szCs w:val="24"/>
          <w:lang w:val="en-GB"/>
        </w:rPr>
        <w:t>attacking peacekeepers.</w:t>
      </w:r>
      <w:r w:rsidR="00FF2D84" w:rsidRPr="00FD1F6E">
        <w:rPr>
          <w:rStyle w:val="Rimandonotaapidipagina"/>
          <w:rFonts w:ascii="Times New Roman" w:hAnsi="Times New Roman" w:cs="Times New Roman"/>
          <w:sz w:val="24"/>
          <w:szCs w:val="24"/>
          <w:lang w:val="en-GB"/>
        </w:rPr>
        <w:footnoteReference w:id="26"/>
      </w:r>
      <w:r w:rsidR="00FF2D84" w:rsidRPr="00FD1F6E">
        <w:rPr>
          <w:rFonts w:ascii="Times New Roman" w:hAnsi="Times New Roman" w:cs="Times New Roman"/>
          <w:sz w:val="24"/>
          <w:szCs w:val="24"/>
          <w:lang w:val="en-GB"/>
        </w:rPr>
        <w:t xml:space="preserve"> By contrast, the OTP</w:t>
      </w:r>
      <w:r>
        <w:rPr>
          <w:rFonts w:ascii="Times New Roman" w:hAnsi="Times New Roman" w:cs="Times New Roman"/>
          <w:sz w:val="24"/>
          <w:szCs w:val="24"/>
          <w:lang w:val="en-GB"/>
        </w:rPr>
        <w:t xml:space="preserve"> found no similar </w:t>
      </w:r>
      <w:r w:rsidR="00FF2D84" w:rsidRPr="00FD1F6E">
        <w:rPr>
          <w:rFonts w:ascii="Times New Roman" w:hAnsi="Times New Roman" w:cs="Times New Roman"/>
          <w:sz w:val="24"/>
          <w:szCs w:val="24"/>
          <w:lang w:val="en-GB"/>
        </w:rPr>
        <w:t>circumstances</w:t>
      </w:r>
      <w:r>
        <w:rPr>
          <w:rFonts w:ascii="Times New Roman" w:hAnsi="Times New Roman" w:cs="Times New Roman"/>
          <w:sz w:val="24"/>
          <w:szCs w:val="24"/>
          <w:lang w:val="en-GB"/>
        </w:rPr>
        <w:t xml:space="preserve"> applicable to</w:t>
      </w:r>
      <w:r w:rsidR="00FF2D84" w:rsidRPr="00FD1F6E">
        <w:rPr>
          <w:rFonts w:ascii="Times New Roman" w:hAnsi="Times New Roman" w:cs="Times New Roman"/>
          <w:sz w:val="24"/>
          <w:szCs w:val="24"/>
          <w:lang w:val="en-GB"/>
        </w:rPr>
        <w:t xml:space="preserve"> the </w:t>
      </w:r>
      <w:r w:rsidR="00FF2D84" w:rsidRPr="00FD1F6E">
        <w:rPr>
          <w:rFonts w:ascii="Times New Roman" w:hAnsi="Times New Roman" w:cs="Times New Roman"/>
          <w:i/>
          <w:sz w:val="24"/>
          <w:szCs w:val="24"/>
          <w:lang w:val="en-GB"/>
        </w:rPr>
        <w:t>Mavi Marmara</w:t>
      </w:r>
      <w:r w:rsidR="00FF2D84" w:rsidRPr="00FD1F6E">
        <w:rPr>
          <w:rFonts w:ascii="Times New Roman" w:hAnsi="Times New Roman" w:cs="Times New Roman"/>
          <w:sz w:val="24"/>
          <w:szCs w:val="24"/>
          <w:lang w:val="en-GB"/>
        </w:rPr>
        <w:t xml:space="preserve"> </w:t>
      </w:r>
      <w:r w:rsidR="007D6C67" w:rsidRPr="00FD1F6E">
        <w:rPr>
          <w:rFonts w:ascii="Times New Roman" w:hAnsi="Times New Roman" w:cs="Times New Roman"/>
          <w:sz w:val="24"/>
          <w:szCs w:val="24"/>
          <w:lang w:val="en-GB"/>
        </w:rPr>
        <w:t>boarding</w:t>
      </w:r>
      <w:r w:rsidR="00FF2D84" w:rsidRPr="00FD1F6E">
        <w:rPr>
          <w:rFonts w:ascii="Times New Roman" w:hAnsi="Times New Roman" w:cs="Times New Roman"/>
          <w:sz w:val="24"/>
          <w:szCs w:val="24"/>
          <w:lang w:val="en-GB"/>
        </w:rPr>
        <w:t>.</w:t>
      </w:r>
    </w:p>
    <w:p w:rsidR="00FF2D84" w:rsidRPr="00FD1F6E" w:rsidRDefault="00FF2D84" w:rsidP="00FF2D84">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 </w:t>
      </w:r>
    </w:p>
    <w:p w:rsidR="00762B08" w:rsidRDefault="00FF2D84" w:rsidP="001509BD">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With regard to </w:t>
      </w:r>
      <w:r w:rsidR="00514252" w:rsidRPr="00FD1F6E">
        <w:rPr>
          <w:rFonts w:ascii="Times New Roman" w:hAnsi="Times New Roman" w:cs="Times New Roman"/>
          <w:sz w:val="24"/>
          <w:szCs w:val="24"/>
          <w:lang w:val="en-GB"/>
        </w:rPr>
        <w:t xml:space="preserve">the nature of the crimes, the OTP </w:t>
      </w:r>
      <w:r w:rsidR="00D15604">
        <w:rPr>
          <w:rFonts w:ascii="Times New Roman" w:hAnsi="Times New Roman" w:cs="Times New Roman"/>
          <w:sz w:val="24"/>
          <w:szCs w:val="24"/>
          <w:lang w:val="en-GB"/>
        </w:rPr>
        <w:t xml:space="preserve">recalled the serious offences in question, but observed that the available information did not indicate that the mistreatment of passengers (characterised as outrages upon personal dignity) rose to the level of </w:t>
      </w:r>
      <w:r w:rsidR="00FD0BF8" w:rsidRPr="00FD1F6E">
        <w:rPr>
          <w:rFonts w:ascii="Times New Roman" w:hAnsi="Times New Roman" w:cs="Times New Roman"/>
          <w:sz w:val="24"/>
          <w:szCs w:val="24"/>
          <w:lang w:val="en-GB"/>
        </w:rPr>
        <w:t>torture</w:t>
      </w:r>
      <w:r w:rsidR="004506E3" w:rsidRPr="00FD1F6E">
        <w:rPr>
          <w:rFonts w:ascii="Times New Roman" w:hAnsi="Times New Roman" w:cs="Times New Roman"/>
          <w:sz w:val="24"/>
          <w:szCs w:val="24"/>
          <w:lang w:val="en-GB"/>
        </w:rPr>
        <w:t xml:space="preserve"> or inhuman treatment</w:t>
      </w:r>
      <w:r w:rsidR="00FD0BF8" w:rsidRPr="00FD1F6E">
        <w:rPr>
          <w:rFonts w:ascii="Times New Roman" w:hAnsi="Times New Roman" w:cs="Times New Roman"/>
          <w:sz w:val="24"/>
          <w:szCs w:val="24"/>
          <w:lang w:val="en-GB"/>
        </w:rPr>
        <w:t>.</w:t>
      </w:r>
      <w:r w:rsidR="00FD0BF8" w:rsidRPr="00FD1F6E">
        <w:rPr>
          <w:rStyle w:val="Rimandonotaapidipagina"/>
          <w:rFonts w:ascii="Times New Roman" w:hAnsi="Times New Roman" w:cs="Times New Roman"/>
          <w:sz w:val="24"/>
          <w:szCs w:val="24"/>
          <w:lang w:val="en-GB"/>
        </w:rPr>
        <w:footnoteReference w:id="27"/>
      </w:r>
      <w:r w:rsidR="00762B08" w:rsidRPr="00FD1F6E">
        <w:rPr>
          <w:rFonts w:ascii="Times New Roman" w:hAnsi="Times New Roman" w:cs="Times New Roman"/>
          <w:sz w:val="24"/>
          <w:szCs w:val="24"/>
          <w:lang w:val="en-GB"/>
        </w:rPr>
        <w:t xml:space="preserve"> </w:t>
      </w:r>
      <w:r w:rsidR="00D15604">
        <w:rPr>
          <w:rFonts w:ascii="Times New Roman" w:hAnsi="Times New Roman" w:cs="Times New Roman"/>
          <w:sz w:val="24"/>
          <w:szCs w:val="24"/>
          <w:lang w:val="en-GB"/>
        </w:rPr>
        <w:t xml:space="preserve">Likewise, although the OTP acknowledged that the IDF’s use of force appeared excessive in some instances, it did not find a reasonable </w:t>
      </w:r>
      <w:r w:rsidR="00D15604">
        <w:rPr>
          <w:rFonts w:ascii="Times New Roman" w:hAnsi="Times New Roman" w:cs="Times New Roman"/>
          <w:sz w:val="24"/>
          <w:szCs w:val="24"/>
          <w:lang w:val="en-GB"/>
        </w:rPr>
        <w:lastRenderedPageBreak/>
        <w:t xml:space="preserve">basis to believe the crimes were committed in a systematic manner (based, at least in part, on the fact that the crimes appeared to follow the initial resistance of the passengers), </w:t>
      </w:r>
      <w:r w:rsidR="00FD0BF8" w:rsidRPr="00FD1F6E">
        <w:rPr>
          <w:rFonts w:ascii="Times New Roman" w:hAnsi="Times New Roman" w:cs="Times New Roman"/>
          <w:sz w:val="24"/>
          <w:szCs w:val="24"/>
          <w:lang w:val="en-GB"/>
        </w:rPr>
        <w:t>or as part of a deliberate plan or policy</w:t>
      </w:r>
      <w:r w:rsidR="00514252" w:rsidRPr="00FD1F6E">
        <w:rPr>
          <w:rFonts w:ascii="Times New Roman" w:hAnsi="Times New Roman" w:cs="Times New Roman"/>
          <w:sz w:val="24"/>
          <w:szCs w:val="24"/>
          <w:lang w:val="en-GB"/>
        </w:rPr>
        <w:t>.</w:t>
      </w:r>
      <w:r w:rsidR="00FD0BF8" w:rsidRPr="00FD1F6E">
        <w:rPr>
          <w:rStyle w:val="Rimandonotaapidipagina"/>
          <w:rFonts w:ascii="Times New Roman" w:hAnsi="Times New Roman" w:cs="Times New Roman"/>
          <w:sz w:val="24"/>
          <w:szCs w:val="24"/>
          <w:lang w:val="en-GB"/>
        </w:rPr>
        <w:footnoteReference w:id="28"/>
      </w:r>
      <w:r w:rsidR="00FD0BF8" w:rsidRPr="00FD1F6E">
        <w:rPr>
          <w:rFonts w:ascii="Times New Roman" w:hAnsi="Times New Roman" w:cs="Times New Roman"/>
          <w:sz w:val="24"/>
          <w:szCs w:val="24"/>
          <w:lang w:val="en-GB"/>
        </w:rPr>
        <w:t xml:space="preserve"> </w:t>
      </w:r>
      <w:r w:rsidR="00D15604">
        <w:rPr>
          <w:rFonts w:ascii="Times New Roman" w:hAnsi="Times New Roman" w:cs="Times New Roman"/>
          <w:sz w:val="24"/>
          <w:szCs w:val="24"/>
          <w:lang w:val="en-GB"/>
        </w:rPr>
        <w:t>Finally</w:t>
      </w:r>
      <w:r w:rsidR="00D15604" w:rsidRPr="00FD1F6E">
        <w:rPr>
          <w:rFonts w:ascii="Times New Roman" w:hAnsi="Times New Roman" w:cs="Times New Roman"/>
          <w:sz w:val="24"/>
          <w:szCs w:val="24"/>
          <w:lang w:val="en-GB"/>
        </w:rPr>
        <w:t xml:space="preserve">, </w:t>
      </w:r>
      <w:r w:rsidR="00D15604">
        <w:rPr>
          <w:rFonts w:ascii="Times New Roman" w:hAnsi="Times New Roman" w:cs="Times New Roman"/>
          <w:sz w:val="24"/>
          <w:szCs w:val="24"/>
          <w:lang w:val="en-GB"/>
        </w:rPr>
        <w:t xml:space="preserve">although </w:t>
      </w:r>
      <w:r w:rsidR="00D15604" w:rsidRPr="00FD1F6E">
        <w:rPr>
          <w:rFonts w:ascii="Times New Roman" w:hAnsi="Times New Roman" w:cs="Times New Roman"/>
          <w:sz w:val="24"/>
          <w:szCs w:val="24"/>
          <w:lang w:val="en-GB"/>
        </w:rPr>
        <w:t xml:space="preserve">the OTP </w:t>
      </w:r>
      <w:r w:rsidR="00D15604">
        <w:rPr>
          <w:rFonts w:ascii="Times New Roman" w:hAnsi="Times New Roman" w:cs="Times New Roman"/>
          <w:sz w:val="24"/>
          <w:szCs w:val="24"/>
          <w:lang w:val="en-GB"/>
        </w:rPr>
        <w:t xml:space="preserve">recognised that the alleged crimes had a ‘significant impact’ on the victims and their families, it noted that the boarding had no further relevant effects </w:t>
      </w:r>
      <w:r w:rsidR="00FD0BF8" w:rsidRPr="00FD1F6E">
        <w:rPr>
          <w:rFonts w:ascii="Times New Roman" w:hAnsi="Times New Roman" w:cs="Times New Roman"/>
          <w:sz w:val="24"/>
          <w:szCs w:val="24"/>
          <w:lang w:val="en-GB"/>
        </w:rPr>
        <w:t>since</w:t>
      </w:r>
      <w:r w:rsidR="00514252" w:rsidRPr="00FD1F6E">
        <w:rPr>
          <w:rFonts w:ascii="Times New Roman" w:hAnsi="Times New Roman" w:cs="Times New Roman"/>
          <w:sz w:val="24"/>
          <w:szCs w:val="24"/>
          <w:lang w:val="en-GB"/>
        </w:rPr>
        <w:t xml:space="preserve">, despite the Israeli </w:t>
      </w:r>
      <w:r w:rsidRPr="00FD1F6E">
        <w:rPr>
          <w:rFonts w:ascii="Times New Roman" w:hAnsi="Times New Roman" w:cs="Times New Roman"/>
          <w:sz w:val="24"/>
          <w:szCs w:val="24"/>
          <w:lang w:val="en-GB"/>
        </w:rPr>
        <w:t>operation</w:t>
      </w:r>
      <w:r w:rsidR="00514252" w:rsidRPr="00FD1F6E">
        <w:rPr>
          <w:rFonts w:ascii="Times New Roman" w:hAnsi="Times New Roman" w:cs="Times New Roman"/>
          <w:sz w:val="24"/>
          <w:szCs w:val="24"/>
          <w:lang w:val="en-GB"/>
        </w:rPr>
        <w:t>,</w:t>
      </w:r>
      <w:r w:rsidR="00FD0BF8" w:rsidRPr="00FD1F6E">
        <w:rPr>
          <w:rFonts w:ascii="Times New Roman" w:hAnsi="Times New Roman" w:cs="Times New Roman"/>
          <w:sz w:val="24"/>
          <w:szCs w:val="24"/>
          <w:lang w:val="en-GB"/>
        </w:rPr>
        <w:t xml:space="preserve"> the </w:t>
      </w:r>
      <w:r w:rsidR="00514252" w:rsidRPr="00FD1F6E">
        <w:rPr>
          <w:rFonts w:ascii="Times New Roman" w:hAnsi="Times New Roman" w:cs="Times New Roman"/>
          <w:sz w:val="24"/>
          <w:szCs w:val="24"/>
          <w:lang w:val="en-GB"/>
        </w:rPr>
        <w:t>humanitarian supplies on board</w:t>
      </w:r>
      <w:r w:rsidR="00FD0BF8" w:rsidRPr="00FD1F6E">
        <w:rPr>
          <w:rFonts w:ascii="Times New Roman" w:hAnsi="Times New Roman" w:cs="Times New Roman"/>
          <w:sz w:val="24"/>
          <w:szCs w:val="24"/>
          <w:lang w:val="en-GB"/>
        </w:rPr>
        <w:t xml:space="preserve"> the vessels </w:t>
      </w:r>
      <w:r w:rsidR="00514252" w:rsidRPr="00FD1F6E">
        <w:rPr>
          <w:rFonts w:ascii="Times New Roman" w:hAnsi="Times New Roman" w:cs="Times New Roman"/>
          <w:sz w:val="24"/>
          <w:szCs w:val="24"/>
          <w:lang w:val="en-GB"/>
        </w:rPr>
        <w:t>were</w:t>
      </w:r>
      <w:r w:rsidR="00FD0BF8" w:rsidRPr="00FD1F6E">
        <w:rPr>
          <w:rFonts w:ascii="Times New Roman" w:hAnsi="Times New Roman" w:cs="Times New Roman"/>
          <w:sz w:val="24"/>
          <w:szCs w:val="24"/>
          <w:lang w:val="en-GB"/>
        </w:rPr>
        <w:t xml:space="preserve"> later distributed in </w:t>
      </w:r>
      <w:r w:rsidR="00941354" w:rsidRPr="00FD1F6E">
        <w:rPr>
          <w:rFonts w:ascii="Times New Roman" w:hAnsi="Times New Roman" w:cs="Times New Roman"/>
          <w:sz w:val="24"/>
          <w:szCs w:val="24"/>
          <w:lang w:val="en-GB"/>
        </w:rPr>
        <w:t xml:space="preserve">the </w:t>
      </w:r>
      <w:r w:rsidR="00FD0BF8" w:rsidRPr="00FD1F6E">
        <w:rPr>
          <w:rFonts w:ascii="Times New Roman" w:hAnsi="Times New Roman" w:cs="Times New Roman"/>
          <w:sz w:val="24"/>
          <w:szCs w:val="24"/>
          <w:lang w:val="en-GB"/>
        </w:rPr>
        <w:t>Gaza</w:t>
      </w:r>
      <w:r w:rsidR="00941354" w:rsidRPr="00FD1F6E">
        <w:rPr>
          <w:rFonts w:ascii="Times New Roman" w:hAnsi="Times New Roman" w:cs="Times New Roman"/>
          <w:sz w:val="24"/>
          <w:szCs w:val="24"/>
          <w:lang w:val="en-GB"/>
        </w:rPr>
        <w:t xml:space="preserve"> Strip</w:t>
      </w:r>
      <w:r w:rsidR="00FD0BF8" w:rsidRPr="00FD1F6E">
        <w:rPr>
          <w:rFonts w:ascii="Times New Roman" w:hAnsi="Times New Roman" w:cs="Times New Roman"/>
          <w:sz w:val="24"/>
          <w:szCs w:val="24"/>
          <w:lang w:val="en-GB"/>
        </w:rPr>
        <w:t>.</w:t>
      </w:r>
      <w:r w:rsidR="00FD0BF8" w:rsidRPr="00FD1F6E">
        <w:rPr>
          <w:rStyle w:val="Rimandonotaapidipagina"/>
          <w:rFonts w:ascii="Times New Roman" w:hAnsi="Times New Roman" w:cs="Times New Roman"/>
          <w:sz w:val="24"/>
          <w:szCs w:val="24"/>
          <w:lang w:val="en-GB"/>
        </w:rPr>
        <w:footnoteReference w:id="29"/>
      </w:r>
    </w:p>
    <w:p w:rsidR="00D15604" w:rsidRPr="00FD1F6E" w:rsidRDefault="00D15604" w:rsidP="001509BD">
      <w:pPr>
        <w:spacing w:after="0" w:line="360" w:lineRule="auto"/>
        <w:jc w:val="both"/>
        <w:rPr>
          <w:rFonts w:ascii="Times New Roman" w:hAnsi="Times New Roman" w:cs="Times New Roman"/>
          <w:sz w:val="24"/>
          <w:szCs w:val="24"/>
          <w:lang w:val="en-GB"/>
        </w:rPr>
      </w:pPr>
    </w:p>
    <w:p w:rsidR="00B0562B" w:rsidRPr="00FD1F6E" w:rsidRDefault="00FF2D84" w:rsidP="0014721F">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For these reasons, </w:t>
      </w:r>
      <w:r w:rsidR="00B0562B" w:rsidRPr="00FD1F6E">
        <w:rPr>
          <w:rFonts w:ascii="Times New Roman" w:hAnsi="Times New Roman" w:cs="Times New Roman"/>
          <w:sz w:val="24"/>
          <w:szCs w:val="24"/>
          <w:lang w:val="en-GB"/>
        </w:rPr>
        <w:t xml:space="preserve">and to the disappointment of </w:t>
      </w:r>
      <w:r w:rsidRPr="00FD1F6E">
        <w:rPr>
          <w:rFonts w:ascii="Times New Roman" w:hAnsi="Times New Roman" w:cs="Times New Roman"/>
          <w:sz w:val="24"/>
          <w:szCs w:val="24"/>
          <w:lang w:val="en-GB"/>
        </w:rPr>
        <w:t>some</w:t>
      </w:r>
      <w:r w:rsidR="00B0562B" w:rsidRPr="00FD1F6E">
        <w:rPr>
          <w:rFonts w:ascii="Times New Roman" w:hAnsi="Times New Roman" w:cs="Times New Roman"/>
          <w:sz w:val="24"/>
          <w:szCs w:val="24"/>
          <w:lang w:val="en-GB"/>
        </w:rPr>
        <w:t xml:space="preserve"> scholars,</w:t>
      </w:r>
      <w:r w:rsidR="00B0562B" w:rsidRPr="00FD1F6E">
        <w:rPr>
          <w:rStyle w:val="Rimandonotaapidipagina"/>
          <w:rFonts w:ascii="Times New Roman" w:hAnsi="Times New Roman" w:cs="Times New Roman"/>
          <w:sz w:val="24"/>
          <w:szCs w:val="24"/>
          <w:lang w:val="en-GB"/>
        </w:rPr>
        <w:footnoteReference w:id="30"/>
      </w:r>
      <w:r w:rsidR="00B0562B" w:rsidRPr="00FD1F6E">
        <w:rPr>
          <w:rFonts w:ascii="Times New Roman" w:hAnsi="Times New Roman" w:cs="Times New Roman"/>
          <w:sz w:val="24"/>
          <w:szCs w:val="24"/>
          <w:lang w:val="en-GB"/>
        </w:rPr>
        <w:t xml:space="preserve"> the </w:t>
      </w:r>
      <w:r w:rsidR="00D64432" w:rsidRPr="00FD1F6E">
        <w:rPr>
          <w:rFonts w:ascii="Times New Roman" w:hAnsi="Times New Roman" w:cs="Times New Roman"/>
          <w:sz w:val="24"/>
          <w:szCs w:val="24"/>
          <w:lang w:val="en-GB"/>
        </w:rPr>
        <w:t>OTP</w:t>
      </w:r>
      <w:r w:rsidR="0014721F" w:rsidRPr="00FD1F6E">
        <w:rPr>
          <w:rFonts w:ascii="Times New Roman" w:hAnsi="Times New Roman" w:cs="Times New Roman"/>
          <w:sz w:val="24"/>
          <w:szCs w:val="24"/>
          <w:lang w:val="en-GB"/>
        </w:rPr>
        <w:t xml:space="preserve"> concluded that</w:t>
      </w:r>
      <w:r w:rsidR="00B0562B" w:rsidRPr="00FD1F6E">
        <w:rPr>
          <w:rFonts w:ascii="Times New Roman" w:hAnsi="Times New Roman" w:cs="Times New Roman"/>
          <w:sz w:val="24"/>
          <w:szCs w:val="24"/>
          <w:lang w:val="en-GB"/>
        </w:rPr>
        <w:t xml:space="preserve"> </w:t>
      </w:r>
      <w:r w:rsidR="0014721F" w:rsidRPr="00FD1F6E">
        <w:rPr>
          <w:rFonts w:ascii="Times New Roman" w:hAnsi="Times New Roman" w:cs="Times New Roman"/>
          <w:sz w:val="24"/>
          <w:szCs w:val="24"/>
          <w:lang w:val="en-GB"/>
        </w:rPr>
        <w:t>no potential case arising from the situation</w:t>
      </w:r>
      <w:r w:rsidR="00D15604">
        <w:rPr>
          <w:rFonts w:ascii="Times New Roman" w:hAnsi="Times New Roman" w:cs="Times New Roman"/>
          <w:sz w:val="24"/>
          <w:szCs w:val="24"/>
          <w:lang w:val="en-GB"/>
        </w:rPr>
        <w:t xml:space="preserve"> would be admissible before the ICC,</w:t>
      </w:r>
      <w:r w:rsidR="0014721F" w:rsidRPr="00FD1F6E">
        <w:rPr>
          <w:rFonts w:ascii="Times New Roman" w:hAnsi="Times New Roman" w:cs="Times New Roman"/>
          <w:sz w:val="24"/>
          <w:szCs w:val="24"/>
          <w:lang w:val="en-GB"/>
        </w:rPr>
        <w:t xml:space="preserve"> due to a lack of sufficient gravity. </w:t>
      </w:r>
    </w:p>
    <w:p w:rsidR="00C85967" w:rsidRPr="00FD1F6E" w:rsidRDefault="00C85967" w:rsidP="00CA0198">
      <w:pPr>
        <w:spacing w:after="0" w:line="360" w:lineRule="auto"/>
        <w:jc w:val="both"/>
        <w:rPr>
          <w:rFonts w:ascii="Times New Roman" w:hAnsi="Times New Roman" w:cs="Times New Roman"/>
          <w:sz w:val="24"/>
          <w:szCs w:val="24"/>
          <w:lang w:val="en-GB"/>
        </w:rPr>
      </w:pPr>
    </w:p>
    <w:p w:rsidR="007D464C" w:rsidRPr="00FD1F6E" w:rsidRDefault="008B186B" w:rsidP="00CA0198">
      <w:pPr>
        <w:spacing w:after="0" w:line="360" w:lineRule="auto"/>
        <w:jc w:val="both"/>
        <w:rPr>
          <w:rFonts w:ascii="Times New Roman" w:hAnsi="Times New Roman" w:cs="Times New Roman"/>
          <w:b/>
          <w:sz w:val="24"/>
          <w:szCs w:val="24"/>
          <w:lang w:val="en-GB"/>
        </w:rPr>
      </w:pPr>
      <w:r w:rsidRPr="00FD1F6E">
        <w:rPr>
          <w:rFonts w:ascii="Times New Roman" w:hAnsi="Times New Roman" w:cs="Times New Roman"/>
          <w:b/>
          <w:sz w:val="24"/>
          <w:szCs w:val="24"/>
          <w:lang w:val="en-GB"/>
        </w:rPr>
        <w:t>4</w:t>
      </w:r>
      <w:r w:rsidR="007D464C" w:rsidRPr="00FD1F6E">
        <w:rPr>
          <w:rFonts w:ascii="Times New Roman" w:hAnsi="Times New Roman" w:cs="Times New Roman"/>
          <w:b/>
          <w:sz w:val="24"/>
          <w:szCs w:val="24"/>
          <w:lang w:val="en-GB"/>
        </w:rPr>
        <w:t>. PTC I</w:t>
      </w:r>
      <w:r w:rsidR="00562EEB" w:rsidRPr="00FD1F6E">
        <w:rPr>
          <w:rFonts w:ascii="Times New Roman" w:hAnsi="Times New Roman" w:cs="Times New Roman"/>
          <w:b/>
          <w:sz w:val="24"/>
          <w:szCs w:val="24"/>
          <w:lang w:val="en-GB"/>
        </w:rPr>
        <w:t>’s Position</w:t>
      </w:r>
      <w:r w:rsidR="007D464C" w:rsidRPr="00FD1F6E">
        <w:rPr>
          <w:rFonts w:ascii="Times New Roman" w:hAnsi="Times New Roman" w:cs="Times New Roman"/>
          <w:b/>
          <w:sz w:val="24"/>
          <w:szCs w:val="24"/>
          <w:lang w:val="en-GB"/>
        </w:rPr>
        <w:t xml:space="preserve"> </w:t>
      </w:r>
      <w:r w:rsidR="009B7F03" w:rsidRPr="00FD1F6E">
        <w:rPr>
          <w:rFonts w:ascii="Times New Roman" w:hAnsi="Times New Roman" w:cs="Times New Roman"/>
          <w:b/>
          <w:sz w:val="24"/>
          <w:szCs w:val="24"/>
          <w:lang w:val="en-GB"/>
        </w:rPr>
        <w:t xml:space="preserve">regarding the </w:t>
      </w:r>
      <w:r w:rsidR="00562EEB" w:rsidRPr="00FD1F6E">
        <w:rPr>
          <w:rFonts w:ascii="Times New Roman" w:hAnsi="Times New Roman" w:cs="Times New Roman"/>
          <w:b/>
          <w:sz w:val="24"/>
          <w:szCs w:val="24"/>
          <w:lang w:val="en-GB"/>
        </w:rPr>
        <w:t>Gravity Issue</w:t>
      </w:r>
    </w:p>
    <w:p w:rsidR="00107253" w:rsidRDefault="008F7439"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PTC I’s </w:t>
      </w:r>
      <w:r w:rsidR="00D15604">
        <w:rPr>
          <w:rFonts w:ascii="Times New Roman" w:hAnsi="Times New Roman" w:cs="Times New Roman"/>
          <w:sz w:val="24"/>
          <w:szCs w:val="24"/>
          <w:lang w:val="en-GB"/>
        </w:rPr>
        <w:t>decision</w:t>
      </w:r>
      <w:r w:rsidRPr="00FD1F6E">
        <w:rPr>
          <w:rFonts w:ascii="Times New Roman" w:hAnsi="Times New Roman" w:cs="Times New Roman"/>
          <w:sz w:val="24"/>
          <w:szCs w:val="24"/>
          <w:lang w:val="en-GB"/>
        </w:rPr>
        <w:t xml:space="preserve"> of 16 July 2015 </w:t>
      </w:r>
      <w:r w:rsidR="00514252" w:rsidRPr="00FD1F6E">
        <w:rPr>
          <w:rFonts w:ascii="Times New Roman" w:hAnsi="Times New Roman" w:cs="Times New Roman"/>
          <w:sz w:val="24"/>
          <w:szCs w:val="24"/>
          <w:lang w:val="en-GB"/>
        </w:rPr>
        <w:t>addressed</w:t>
      </w:r>
      <w:r w:rsidRPr="00FD1F6E">
        <w:rPr>
          <w:rFonts w:ascii="Times New Roman" w:hAnsi="Times New Roman" w:cs="Times New Roman"/>
          <w:sz w:val="24"/>
          <w:szCs w:val="24"/>
          <w:lang w:val="en-GB"/>
        </w:rPr>
        <w:t xml:space="preserve"> two complaint</w:t>
      </w:r>
      <w:r w:rsidR="000216B4" w:rsidRPr="00FD1F6E">
        <w:rPr>
          <w:rFonts w:ascii="Times New Roman" w:hAnsi="Times New Roman" w:cs="Times New Roman"/>
          <w:sz w:val="24"/>
          <w:szCs w:val="24"/>
          <w:lang w:val="en-GB"/>
        </w:rPr>
        <w:t>s issued by the Comoros. T</w:t>
      </w:r>
      <w:r w:rsidRPr="00FD1F6E">
        <w:rPr>
          <w:rFonts w:ascii="Times New Roman" w:hAnsi="Times New Roman" w:cs="Times New Roman"/>
          <w:sz w:val="24"/>
          <w:szCs w:val="24"/>
          <w:lang w:val="en-GB"/>
        </w:rPr>
        <w:t xml:space="preserve">he first </w:t>
      </w:r>
      <w:r w:rsidR="000216B4" w:rsidRPr="00FD1F6E">
        <w:rPr>
          <w:rFonts w:ascii="Times New Roman" w:hAnsi="Times New Roman" w:cs="Times New Roman"/>
          <w:sz w:val="24"/>
          <w:szCs w:val="24"/>
          <w:lang w:val="en-GB"/>
        </w:rPr>
        <w:t>complaint</w:t>
      </w:r>
      <w:r w:rsidRPr="00FD1F6E">
        <w:rPr>
          <w:rFonts w:ascii="Times New Roman" w:hAnsi="Times New Roman" w:cs="Times New Roman"/>
          <w:sz w:val="24"/>
          <w:szCs w:val="24"/>
          <w:lang w:val="en-GB"/>
        </w:rPr>
        <w:t xml:space="preserve"> related to the alleged failure to take into account </w:t>
      </w:r>
      <w:r w:rsidR="003065B9" w:rsidRPr="00FD1F6E">
        <w:rPr>
          <w:rFonts w:ascii="Times New Roman" w:hAnsi="Times New Roman" w:cs="Times New Roman"/>
          <w:sz w:val="24"/>
          <w:szCs w:val="24"/>
          <w:lang w:val="en-GB"/>
        </w:rPr>
        <w:t>other</w:t>
      </w:r>
      <w:r w:rsidRPr="00FD1F6E">
        <w:rPr>
          <w:rFonts w:ascii="Times New Roman" w:hAnsi="Times New Roman" w:cs="Times New Roman"/>
          <w:sz w:val="24"/>
          <w:szCs w:val="24"/>
          <w:lang w:val="en-GB"/>
        </w:rPr>
        <w:t xml:space="preserve"> facts that did not occur on board the three vessels over which the ICC has jurisdiction </w:t>
      </w:r>
      <w:r w:rsidRPr="00FD1F6E">
        <w:rPr>
          <w:rFonts w:ascii="Times New Roman" w:hAnsi="Times New Roman" w:cs="Times New Roman"/>
          <w:i/>
          <w:sz w:val="24"/>
          <w:szCs w:val="24"/>
          <w:lang w:val="en-GB"/>
        </w:rPr>
        <w:t>ratione loci</w:t>
      </w:r>
      <w:r w:rsidRPr="00FD1F6E">
        <w:rPr>
          <w:rFonts w:ascii="Times New Roman" w:hAnsi="Times New Roman" w:cs="Times New Roman"/>
          <w:sz w:val="24"/>
          <w:szCs w:val="24"/>
          <w:lang w:val="en-GB"/>
        </w:rPr>
        <w:t>,</w:t>
      </w:r>
      <w:r w:rsidR="000216B4" w:rsidRPr="00FD1F6E">
        <w:rPr>
          <w:rFonts w:ascii="Times New Roman" w:hAnsi="Times New Roman" w:cs="Times New Roman"/>
          <w:sz w:val="24"/>
          <w:szCs w:val="24"/>
          <w:lang w:val="en-GB"/>
        </w:rPr>
        <w:t xml:space="preserve"> while</w:t>
      </w:r>
      <w:r w:rsidRPr="00FD1F6E">
        <w:rPr>
          <w:rFonts w:ascii="Times New Roman" w:hAnsi="Times New Roman" w:cs="Times New Roman"/>
          <w:sz w:val="24"/>
          <w:szCs w:val="24"/>
          <w:lang w:val="en-GB"/>
        </w:rPr>
        <w:t xml:space="preserve"> the second</w:t>
      </w:r>
      <w:r w:rsidR="000216B4" w:rsidRPr="00FD1F6E">
        <w:rPr>
          <w:rFonts w:ascii="Times New Roman" w:hAnsi="Times New Roman" w:cs="Times New Roman"/>
          <w:sz w:val="24"/>
          <w:szCs w:val="24"/>
          <w:lang w:val="en-GB"/>
        </w:rPr>
        <w:t xml:space="preserve"> complaint pertained</w:t>
      </w:r>
      <w:r w:rsidRPr="00FD1F6E">
        <w:rPr>
          <w:rFonts w:ascii="Times New Roman" w:hAnsi="Times New Roman" w:cs="Times New Roman"/>
          <w:sz w:val="24"/>
          <w:szCs w:val="24"/>
          <w:lang w:val="en-GB"/>
        </w:rPr>
        <w:t xml:space="preserve"> to alleged errors in addressing the factors relevant </w:t>
      </w:r>
      <w:r w:rsidR="00762B08" w:rsidRPr="00FD1F6E">
        <w:rPr>
          <w:rFonts w:ascii="Times New Roman" w:hAnsi="Times New Roman" w:cs="Times New Roman"/>
          <w:sz w:val="24"/>
          <w:szCs w:val="24"/>
          <w:lang w:val="en-GB"/>
        </w:rPr>
        <w:t xml:space="preserve">for </w:t>
      </w:r>
      <w:r w:rsidRPr="00FD1F6E">
        <w:rPr>
          <w:rFonts w:ascii="Times New Roman" w:hAnsi="Times New Roman" w:cs="Times New Roman"/>
          <w:sz w:val="24"/>
          <w:szCs w:val="24"/>
          <w:lang w:val="en-GB"/>
        </w:rPr>
        <w:t>the assessment of sufficient gravity under article 17(1).</w:t>
      </w:r>
      <w:r w:rsidR="00E753E7" w:rsidRPr="00FD1F6E">
        <w:rPr>
          <w:rStyle w:val="Rimandonotaapidipagina"/>
          <w:rFonts w:ascii="Times New Roman" w:hAnsi="Times New Roman" w:cs="Times New Roman"/>
          <w:sz w:val="24"/>
          <w:szCs w:val="24"/>
          <w:lang w:val="en-GB"/>
        </w:rPr>
        <w:footnoteReference w:id="31"/>
      </w:r>
      <w:r w:rsidR="00762B08" w:rsidRPr="00FD1F6E">
        <w:rPr>
          <w:rFonts w:ascii="Times New Roman" w:hAnsi="Times New Roman" w:cs="Times New Roman"/>
          <w:sz w:val="24"/>
          <w:szCs w:val="24"/>
          <w:lang w:val="en-GB"/>
        </w:rPr>
        <w:t xml:space="preserve"> While the first claim </w:t>
      </w:r>
      <w:r w:rsidR="00562EEB" w:rsidRPr="00FD1F6E">
        <w:rPr>
          <w:rFonts w:ascii="Times New Roman" w:hAnsi="Times New Roman" w:cs="Times New Roman"/>
          <w:sz w:val="24"/>
          <w:szCs w:val="24"/>
          <w:lang w:val="en-GB"/>
        </w:rPr>
        <w:t>was</w:t>
      </w:r>
      <w:r w:rsidRPr="00FD1F6E">
        <w:rPr>
          <w:rFonts w:ascii="Times New Roman" w:hAnsi="Times New Roman" w:cs="Times New Roman"/>
          <w:sz w:val="24"/>
          <w:szCs w:val="24"/>
          <w:lang w:val="en-GB"/>
        </w:rPr>
        <w:t xml:space="preserve"> dismissed by PTC I,</w:t>
      </w:r>
      <w:r w:rsidR="00E753E7" w:rsidRPr="00FD1F6E">
        <w:rPr>
          <w:rStyle w:val="Rimandonotaapidipagina"/>
          <w:rFonts w:ascii="Times New Roman" w:hAnsi="Times New Roman" w:cs="Times New Roman"/>
          <w:sz w:val="24"/>
          <w:szCs w:val="24"/>
          <w:lang w:val="en-GB"/>
        </w:rPr>
        <w:footnoteReference w:id="32"/>
      </w:r>
      <w:r w:rsidR="00762B08" w:rsidRPr="00FD1F6E">
        <w:rPr>
          <w:rFonts w:ascii="Times New Roman" w:hAnsi="Times New Roman" w:cs="Times New Roman"/>
          <w:sz w:val="24"/>
          <w:szCs w:val="24"/>
          <w:lang w:val="en-GB"/>
        </w:rPr>
        <w:t xml:space="preserve"> the second </w:t>
      </w:r>
      <w:r w:rsidR="000216B4" w:rsidRPr="00FD1F6E">
        <w:rPr>
          <w:rFonts w:ascii="Times New Roman" w:hAnsi="Times New Roman" w:cs="Times New Roman"/>
          <w:sz w:val="24"/>
          <w:szCs w:val="24"/>
          <w:lang w:val="en-GB"/>
        </w:rPr>
        <w:t>argument</w:t>
      </w:r>
      <w:r w:rsidR="00562EEB" w:rsidRPr="00FD1F6E">
        <w:rPr>
          <w:rFonts w:ascii="Times New Roman" w:hAnsi="Times New Roman" w:cs="Times New Roman"/>
          <w:sz w:val="24"/>
          <w:szCs w:val="24"/>
          <w:lang w:val="en-GB"/>
        </w:rPr>
        <w:t xml:space="preserve"> wa</w:t>
      </w:r>
      <w:r w:rsidRPr="00FD1F6E">
        <w:rPr>
          <w:rFonts w:ascii="Times New Roman" w:hAnsi="Times New Roman" w:cs="Times New Roman"/>
          <w:sz w:val="24"/>
          <w:szCs w:val="24"/>
          <w:lang w:val="en-GB"/>
        </w:rPr>
        <w:t>s considered well</w:t>
      </w:r>
      <w:r w:rsidR="000216B4" w:rsidRPr="00FD1F6E">
        <w:rPr>
          <w:rFonts w:ascii="Times New Roman" w:hAnsi="Times New Roman" w:cs="Times New Roman"/>
          <w:sz w:val="24"/>
          <w:szCs w:val="24"/>
          <w:lang w:val="en-GB"/>
        </w:rPr>
        <w:t xml:space="preserve"> </w:t>
      </w:r>
      <w:r w:rsidRPr="00FD1F6E">
        <w:rPr>
          <w:rFonts w:ascii="Times New Roman" w:hAnsi="Times New Roman" w:cs="Times New Roman"/>
          <w:sz w:val="24"/>
          <w:szCs w:val="24"/>
          <w:lang w:val="en-GB"/>
        </w:rPr>
        <w:t>grounded</w:t>
      </w:r>
      <w:r w:rsidR="003065B9" w:rsidRPr="00FD1F6E">
        <w:rPr>
          <w:rFonts w:ascii="Times New Roman" w:hAnsi="Times New Roman" w:cs="Times New Roman"/>
          <w:sz w:val="24"/>
          <w:szCs w:val="24"/>
          <w:lang w:val="en-GB"/>
        </w:rPr>
        <w:t xml:space="preserve">. Consequently, </w:t>
      </w:r>
      <w:r w:rsidRPr="00FD1F6E">
        <w:rPr>
          <w:rFonts w:ascii="Times New Roman" w:hAnsi="Times New Roman" w:cs="Times New Roman"/>
          <w:sz w:val="24"/>
          <w:szCs w:val="24"/>
          <w:lang w:val="en-GB"/>
        </w:rPr>
        <w:t>PTC I request</w:t>
      </w:r>
      <w:r w:rsidR="00BA1F21" w:rsidRPr="00FD1F6E">
        <w:rPr>
          <w:rFonts w:ascii="Times New Roman" w:hAnsi="Times New Roman" w:cs="Times New Roman"/>
          <w:sz w:val="24"/>
          <w:szCs w:val="24"/>
          <w:lang w:val="en-GB"/>
        </w:rPr>
        <w:t>ed</w:t>
      </w:r>
      <w:r w:rsidR="00762B08" w:rsidRPr="00FD1F6E">
        <w:rPr>
          <w:rFonts w:ascii="Times New Roman" w:hAnsi="Times New Roman" w:cs="Times New Roman"/>
          <w:sz w:val="24"/>
          <w:szCs w:val="24"/>
          <w:lang w:val="en-GB"/>
        </w:rPr>
        <w:t xml:space="preserve"> </w:t>
      </w:r>
      <w:r w:rsidRPr="00FD1F6E">
        <w:rPr>
          <w:rFonts w:ascii="Times New Roman" w:hAnsi="Times New Roman" w:cs="Times New Roman"/>
          <w:sz w:val="24"/>
          <w:szCs w:val="24"/>
          <w:lang w:val="en-GB"/>
        </w:rPr>
        <w:t>the</w:t>
      </w:r>
      <w:r w:rsidR="00BA1F21" w:rsidRPr="00FD1F6E">
        <w:rPr>
          <w:rFonts w:ascii="Times New Roman" w:hAnsi="Times New Roman" w:cs="Times New Roman"/>
          <w:sz w:val="24"/>
          <w:szCs w:val="24"/>
          <w:lang w:val="en-GB"/>
        </w:rPr>
        <w:t xml:space="preserve"> </w:t>
      </w:r>
      <w:r w:rsidR="00941354" w:rsidRPr="00FD1F6E">
        <w:rPr>
          <w:rFonts w:ascii="Times New Roman" w:hAnsi="Times New Roman" w:cs="Times New Roman"/>
          <w:sz w:val="24"/>
          <w:szCs w:val="24"/>
          <w:lang w:val="en-GB"/>
        </w:rPr>
        <w:t>OTP</w:t>
      </w:r>
      <w:r w:rsidRPr="00FD1F6E">
        <w:rPr>
          <w:rFonts w:ascii="Times New Roman" w:hAnsi="Times New Roman" w:cs="Times New Roman"/>
          <w:sz w:val="24"/>
          <w:szCs w:val="24"/>
          <w:lang w:val="en-GB"/>
        </w:rPr>
        <w:t xml:space="preserve"> to reconsider </w:t>
      </w:r>
      <w:r w:rsidR="003065B9" w:rsidRPr="00FD1F6E">
        <w:rPr>
          <w:rFonts w:ascii="Times New Roman" w:hAnsi="Times New Roman" w:cs="Times New Roman"/>
          <w:sz w:val="24"/>
          <w:szCs w:val="24"/>
          <w:lang w:val="en-GB"/>
        </w:rPr>
        <w:t>its</w:t>
      </w:r>
      <w:r w:rsidRPr="00FD1F6E">
        <w:rPr>
          <w:rFonts w:ascii="Times New Roman" w:hAnsi="Times New Roman" w:cs="Times New Roman"/>
          <w:sz w:val="24"/>
          <w:szCs w:val="24"/>
          <w:lang w:val="en-GB"/>
        </w:rPr>
        <w:t xml:space="preserve"> decision not to open an investigation.</w:t>
      </w:r>
      <w:r w:rsidR="00E753E7" w:rsidRPr="00FD1F6E">
        <w:rPr>
          <w:rStyle w:val="Rimandonotaapidipagina"/>
          <w:rFonts w:ascii="Times New Roman" w:hAnsi="Times New Roman" w:cs="Times New Roman"/>
          <w:sz w:val="24"/>
          <w:szCs w:val="24"/>
          <w:lang w:val="en-GB"/>
        </w:rPr>
        <w:footnoteReference w:id="33"/>
      </w:r>
      <w:r w:rsidR="00D15604">
        <w:rPr>
          <w:rFonts w:ascii="Times New Roman" w:hAnsi="Times New Roman" w:cs="Times New Roman"/>
          <w:sz w:val="24"/>
          <w:szCs w:val="24"/>
          <w:lang w:val="en-GB"/>
        </w:rPr>
        <w:t xml:space="preserve"> In its reasoning, </w:t>
      </w:r>
      <w:r w:rsidR="00107253" w:rsidRPr="00FD1F6E">
        <w:rPr>
          <w:rFonts w:ascii="Times New Roman" w:hAnsi="Times New Roman" w:cs="Times New Roman"/>
          <w:sz w:val="24"/>
          <w:szCs w:val="24"/>
          <w:lang w:val="en-GB"/>
        </w:rPr>
        <w:t xml:space="preserve">PTC I criticised many findings </w:t>
      </w:r>
      <w:r w:rsidR="00594357">
        <w:rPr>
          <w:rFonts w:ascii="Times New Roman" w:hAnsi="Times New Roman" w:cs="Times New Roman"/>
          <w:sz w:val="24"/>
          <w:szCs w:val="24"/>
          <w:lang w:val="en-GB"/>
        </w:rPr>
        <w:t>of</w:t>
      </w:r>
      <w:r w:rsidR="00107253" w:rsidRPr="00FD1F6E">
        <w:rPr>
          <w:rFonts w:ascii="Times New Roman" w:hAnsi="Times New Roman" w:cs="Times New Roman"/>
          <w:sz w:val="24"/>
          <w:szCs w:val="24"/>
          <w:lang w:val="en-GB"/>
        </w:rPr>
        <w:t xml:space="preserve"> the Decision Not to Investigate</w:t>
      </w:r>
      <w:r w:rsidR="00A375B3" w:rsidRPr="00FD1F6E">
        <w:rPr>
          <w:rFonts w:ascii="Times New Roman" w:hAnsi="Times New Roman" w:cs="Times New Roman"/>
          <w:sz w:val="24"/>
          <w:szCs w:val="24"/>
          <w:lang w:val="en-GB"/>
        </w:rPr>
        <w:t>.</w:t>
      </w:r>
    </w:p>
    <w:p w:rsidR="00594357" w:rsidRPr="00FD1F6E" w:rsidRDefault="00594357" w:rsidP="00CA0198">
      <w:pPr>
        <w:spacing w:after="0" w:line="360" w:lineRule="auto"/>
        <w:jc w:val="both"/>
        <w:rPr>
          <w:rFonts w:ascii="Times New Roman" w:hAnsi="Times New Roman" w:cs="Times New Roman"/>
          <w:sz w:val="24"/>
          <w:szCs w:val="24"/>
          <w:lang w:val="en-GB"/>
        </w:rPr>
      </w:pPr>
    </w:p>
    <w:p w:rsidR="00001886" w:rsidRDefault="00001886" w:rsidP="00CA0198">
      <w:pPr>
        <w:spacing w:after="0" w:line="360" w:lineRule="auto"/>
        <w:jc w:val="both"/>
        <w:rPr>
          <w:rFonts w:ascii="Times New Roman" w:hAnsi="Times New Roman" w:cs="Times New Roman"/>
          <w:sz w:val="24"/>
          <w:szCs w:val="24"/>
          <w:lang w:val="en-US"/>
        </w:rPr>
      </w:pPr>
      <w:r w:rsidRPr="00FD1F6E">
        <w:rPr>
          <w:rFonts w:ascii="Times New Roman" w:hAnsi="Times New Roman" w:cs="Times New Roman"/>
          <w:sz w:val="24"/>
          <w:szCs w:val="24"/>
          <w:lang w:val="en-GB"/>
        </w:rPr>
        <w:t>First, PTC I consider</w:t>
      </w:r>
      <w:r w:rsidR="00107253" w:rsidRPr="00FD1F6E">
        <w:rPr>
          <w:rFonts w:ascii="Times New Roman" w:hAnsi="Times New Roman" w:cs="Times New Roman"/>
          <w:sz w:val="24"/>
          <w:szCs w:val="24"/>
          <w:lang w:val="en-GB"/>
        </w:rPr>
        <w:t>ed</w:t>
      </w:r>
      <w:r w:rsidRPr="00FD1F6E">
        <w:rPr>
          <w:rFonts w:ascii="Times New Roman" w:hAnsi="Times New Roman" w:cs="Times New Roman"/>
          <w:sz w:val="24"/>
          <w:szCs w:val="24"/>
          <w:lang w:val="en-GB"/>
        </w:rPr>
        <w:t xml:space="preserve"> that the </w:t>
      </w:r>
      <w:r w:rsidR="00941354" w:rsidRPr="00FD1F6E">
        <w:rPr>
          <w:rFonts w:ascii="Times New Roman" w:hAnsi="Times New Roman" w:cs="Times New Roman"/>
          <w:sz w:val="24"/>
          <w:szCs w:val="24"/>
          <w:lang w:val="en-GB"/>
        </w:rPr>
        <w:t>OTP</w:t>
      </w:r>
      <w:r w:rsidRPr="00FD1F6E">
        <w:rPr>
          <w:rFonts w:ascii="Times New Roman" w:hAnsi="Times New Roman" w:cs="Times New Roman"/>
          <w:sz w:val="24"/>
          <w:szCs w:val="24"/>
          <w:lang w:val="en-GB"/>
        </w:rPr>
        <w:t xml:space="preserve"> should have taken into account the fact that an investigation would have </w:t>
      </w:r>
      <w:r w:rsidR="003065B9" w:rsidRPr="00FD1F6E">
        <w:rPr>
          <w:rFonts w:ascii="Times New Roman" w:hAnsi="Times New Roman" w:cs="Times New Roman"/>
          <w:sz w:val="24"/>
          <w:szCs w:val="24"/>
          <w:lang w:val="en-GB"/>
        </w:rPr>
        <w:t>considered</w:t>
      </w:r>
      <w:r w:rsidRPr="00FD1F6E">
        <w:rPr>
          <w:rFonts w:ascii="Times New Roman" w:hAnsi="Times New Roman" w:cs="Times New Roman"/>
          <w:sz w:val="24"/>
          <w:szCs w:val="24"/>
          <w:lang w:val="en-GB"/>
        </w:rPr>
        <w:t xml:space="preserve"> those who bear the greatest responsibility for the commission of the alleged crimes</w:t>
      </w:r>
      <w:r w:rsidR="00A375B3" w:rsidRPr="00FD1F6E">
        <w:rPr>
          <w:rFonts w:ascii="Times New Roman" w:hAnsi="Times New Roman" w:cs="Times New Roman"/>
          <w:sz w:val="24"/>
          <w:szCs w:val="24"/>
          <w:lang w:val="en-GB"/>
        </w:rPr>
        <w:t>;</w:t>
      </w:r>
      <w:r w:rsidRPr="00FD1F6E">
        <w:rPr>
          <w:rFonts w:ascii="Times New Roman" w:hAnsi="Times New Roman" w:cs="Times New Roman"/>
          <w:sz w:val="24"/>
          <w:szCs w:val="24"/>
          <w:lang w:val="en-GB"/>
        </w:rPr>
        <w:t xml:space="preserve"> </w:t>
      </w:r>
      <w:r w:rsidR="00A375B3" w:rsidRPr="00FD1F6E">
        <w:rPr>
          <w:rFonts w:ascii="Times New Roman" w:hAnsi="Times New Roman" w:cs="Times New Roman"/>
          <w:sz w:val="24"/>
          <w:szCs w:val="24"/>
          <w:lang w:val="en-GB"/>
        </w:rPr>
        <w:t>a</w:t>
      </w:r>
      <w:r w:rsidR="009B5CF9" w:rsidRPr="00FD1F6E">
        <w:rPr>
          <w:rFonts w:ascii="Times New Roman" w:hAnsi="Times New Roman" w:cs="Times New Roman"/>
          <w:sz w:val="24"/>
          <w:szCs w:val="24"/>
          <w:lang w:val="en-GB"/>
        </w:rPr>
        <w:t>ccording to PTC I, a just evaluation of th</w:t>
      </w:r>
      <w:r w:rsidR="000C7DE1" w:rsidRPr="00FD1F6E">
        <w:rPr>
          <w:rFonts w:ascii="Times New Roman" w:hAnsi="Times New Roman" w:cs="Times New Roman"/>
          <w:sz w:val="24"/>
          <w:szCs w:val="24"/>
          <w:lang w:val="en-GB"/>
        </w:rPr>
        <w:t>is element would have been relevant for the assessment of</w:t>
      </w:r>
      <w:r w:rsidR="003065B9" w:rsidRPr="00FD1F6E">
        <w:rPr>
          <w:rFonts w:ascii="Times New Roman" w:hAnsi="Times New Roman" w:cs="Times New Roman"/>
          <w:sz w:val="24"/>
          <w:szCs w:val="24"/>
          <w:lang w:val="en-GB"/>
        </w:rPr>
        <w:t xml:space="preserve"> the requirement of</w:t>
      </w:r>
      <w:r w:rsidR="000C7DE1" w:rsidRPr="00FD1F6E">
        <w:rPr>
          <w:rFonts w:ascii="Times New Roman" w:hAnsi="Times New Roman" w:cs="Times New Roman"/>
          <w:sz w:val="24"/>
          <w:szCs w:val="24"/>
          <w:lang w:val="en-GB"/>
        </w:rPr>
        <w:t xml:space="preserve"> sufficient gravity of </w:t>
      </w:r>
      <w:r w:rsidR="000C7DE1" w:rsidRPr="00FD1F6E">
        <w:rPr>
          <w:rFonts w:ascii="Times New Roman" w:hAnsi="Times New Roman" w:cs="Times New Roman"/>
          <w:sz w:val="24"/>
          <w:szCs w:val="24"/>
          <w:lang w:val="en-GB"/>
        </w:rPr>
        <w:lastRenderedPageBreak/>
        <w:t>the potential case</w:t>
      </w:r>
      <w:r w:rsidR="00B34E9F" w:rsidRPr="00FD1F6E">
        <w:rPr>
          <w:rFonts w:ascii="Times New Roman" w:hAnsi="Times New Roman" w:cs="Times New Roman"/>
          <w:sz w:val="24"/>
          <w:szCs w:val="24"/>
          <w:lang w:val="en-GB"/>
        </w:rPr>
        <w:t>.</w:t>
      </w:r>
      <w:r w:rsidR="00B34E9F" w:rsidRPr="00FD1F6E">
        <w:rPr>
          <w:rStyle w:val="Rimandonotaapidipagina"/>
          <w:rFonts w:ascii="Times New Roman" w:hAnsi="Times New Roman" w:cs="Times New Roman"/>
          <w:sz w:val="24"/>
          <w:szCs w:val="24"/>
          <w:lang w:val="en-GB"/>
        </w:rPr>
        <w:footnoteReference w:id="34"/>
      </w:r>
      <w:r w:rsidR="00A375B3" w:rsidRPr="00FD1F6E">
        <w:rPr>
          <w:rFonts w:ascii="Times New Roman" w:hAnsi="Times New Roman" w:cs="Times New Roman"/>
          <w:sz w:val="24"/>
          <w:szCs w:val="24"/>
          <w:lang w:val="en-GB"/>
        </w:rPr>
        <w:t xml:space="preserve"> </w:t>
      </w:r>
      <w:r w:rsidR="00594357">
        <w:rPr>
          <w:rFonts w:ascii="Times New Roman" w:hAnsi="Times New Roman" w:cs="Times New Roman"/>
          <w:sz w:val="24"/>
          <w:szCs w:val="24"/>
          <w:lang w:val="en-GB"/>
        </w:rPr>
        <w:t xml:space="preserve">The PTC’s criticism is grounded not in a dispute with the OTP about whether </w:t>
      </w:r>
      <w:r w:rsidR="00A375B3" w:rsidRPr="00FD1F6E">
        <w:rPr>
          <w:rFonts w:ascii="Times New Roman" w:hAnsi="Times New Roman" w:cs="Times New Roman"/>
          <w:sz w:val="24"/>
          <w:szCs w:val="24"/>
          <w:lang w:val="en-GB"/>
        </w:rPr>
        <w:t>this element</w:t>
      </w:r>
      <w:r w:rsidR="00594357">
        <w:rPr>
          <w:rFonts w:ascii="Times New Roman" w:hAnsi="Times New Roman" w:cs="Times New Roman"/>
          <w:sz w:val="24"/>
          <w:szCs w:val="24"/>
          <w:lang w:val="en-GB"/>
        </w:rPr>
        <w:t xml:space="preserve"> is </w:t>
      </w:r>
      <w:r w:rsidR="00A375B3" w:rsidRPr="00FD1F6E">
        <w:rPr>
          <w:rFonts w:ascii="Times New Roman" w:hAnsi="Times New Roman" w:cs="Times New Roman"/>
          <w:sz w:val="24"/>
          <w:szCs w:val="24"/>
          <w:lang w:val="en-GB"/>
        </w:rPr>
        <w:t xml:space="preserve">relevant for the </w:t>
      </w:r>
      <w:r w:rsidR="00594357" w:rsidRPr="00FD1F6E">
        <w:rPr>
          <w:rFonts w:ascii="Times New Roman" w:hAnsi="Times New Roman" w:cs="Times New Roman"/>
          <w:sz w:val="24"/>
          <w:szCs w:val="24"/>
          <w:lang w:val="en-GB"/>
        </w:rPr>
        <w:t xml:space="preserve">gravity </w:t>
      </w:r>
      <w:r w:rsidR="00A375B3" w:rsidRPr="00FD1F6E">
        <w:rPr>
          <w:rFonts w:ascii="Times New Roman" w:hAnsi="Times New Roman" w:cs="Times New Roman"/>
          <w:sz w:val="24"/>
          <w:szCs w:val="24"/>
          <w:lang w:val="en-GB"/>
        </w:rPr>
        <w:t xml:space="preserve">assessment, but </w:t>
      </w:r>
      <w:r w:rsidR="00594357">
        <w:rPr>
          <w:rFonts w:ascii="Times New Roman" w:hAnsi="Times New Roman" w:cs="Times New Roman"/>
          <w:sz w:val="24"/>
          <w:szCs w:val="24"/>
          <w:lang w:val="en-GB"/>
        </w:rPr>
        <w:t xml:space="preserve">rather on disagreement about </w:t>
      </w:r>
      <w:r w:rsidR="00A375B3" w:rsidRPr="00FD1F6E">
        <w:rPr>
          <w:rFonts w:ascii="Times New Roman" w:hAnsi="Times New Roman" w:cs="Times New Roman"/>
          <w:sz w:val="24"/>
          <w:szCs w:val="24"/>
          <w:lang w:val="en-GB"/>
        </w:rPr>
        <w:t>the actual meaning of the words ‘those who bear the greatest responsibility for the commission of the alleged crime’</w:t>
      </w:r>
      <w:r w:rsidR="00594357">
        <w:rPr>
          <w:rFonts w:ascii="Times New Roman" w:hAnsi="Times New Roman" w:cs="Times New Roman"/>
          <w:sz w:val="24"/>
          <w:szCs w:val="24"/>
          <w:lang w:val="en-GB"/>
        </w:rPr>
        <w:t xml:space="preserve">. Whereas </w:t>
      </w:r>
      <w:r w:rsidR="00A375B3" w:rsidRPr="00FD1F6E">
        <w:rPr>
          <w:rFonts w:ascii="Times New Roman" w:hAnsi="Times New Roman" w:cs="Times New Roman"/>
          <w:sz w:val="24"/>
          <w:szCs w:val="24"/>
          <w:lang w:val="en-GB"/>
        </w:rPr>
        <w:t>the OTP</w:t>
      </w:r>
      <w:r w:rsidR="00594357">
        <w:rPr>
          <w:rFonts w:ascii="Times New Roman" w:hAnsi="Times New Roman" w:cs="Times New Roman"/>
          <w:sz w:val="24"/>
          <w:szCs w:val="24"/>
          <w:lang w:val="en-GB"/>
        </w:rPr>
        <w:t xml:space="preserve"> conceives </w:t>
      </w:r>
      <w:r w:rsidR="00A375B3" w:rsidRPr="00FD1F6E">
        <w:rPr>
          <w:rFonts w:ascii="Times New Roman" w:hAnsi="Times New Roman" w:cs="Times New Roman"/>
          <w:sz w:val="24"/>
          <w:szCs w:val="24"/>
          <w:lang w:val="en-GB"/>
        </w:rPr>
        <w:t>th</w:t>
      </w:r>
      <w:r w:rsidR="009173AC" w:rsidRPr="00FD1F6E">
        <w:rPr>
          <w:rFonts w:ascii="Times New Roman" w:hAnsi="Times New Roman" w:cs="Times New Roman"/>
          <w:sz w:val="24"/>
          <w:szCs w:val="24"/>
          <w:lang w:val="en-GB"/>
        </w:rPr>
        <w:t xml:space="preserve">e issue </w:t>
      </w:r>
      <w:r w:rsidR="00594357">
        <w:rPr>
          <w:rFonts w:ascii="Times New Roman" w:hAnsi="Times New Roman" w:cs="Times New Roman"/>
          <w:sz w:val="24"/>
          <w:szCs w:val="24"/>
          <w:lang w:val="en-GB"/>
        </w:rPr>
        <w:t>a</w:t>
      </w:r>
      <w:r w:rsidR="009173AC" w:rsidRPr="00FD1F6E">
        <w:rPr>
          <w:rFonts w:ascii="Times New Roman" w:hAnsi="Times New Roman" w:cs="Times New Roman"/>
          <w:sz w:val="24"/>
          <w:szCs w:val="24"/>
          <w:lang w:val="en-GB"/>
        </w:rPr>
        <w:t xml:space="preserve">s whether </w:t>
      </w:r>
      <w:r w:rsidR="00594357">
        <w:rPr>
          <w:rFonts w:ascii="Times New Roman" w:hAnsi="Times New Roman" w:cs="Times New Roman"/>
          <w:sz w:val="24"/>
          <w:szCs w:val="24"/>
          <w:lang w:val="en-US"/>
        </w:rPr>
        <w:t>potential defendants</w:t>
      </w:r>
      <w:r w:rsidR="00594357" w:rsidRPr="00FD1F6E">
        <w:rPr>
          <w:rFonts w:ascii="Times New Roman" w:hAnsi="Times New Roman" w:cs="Times New Roman"/>
          <w:sz w:val="24"/>
          <w:szCs w:val="24"/>
          <w:lang w:val="en-US"/>
        </w:rPr>
        <w:t xml:space="preserve"> are </w:t>
      </w:r>
      <w:r w:rsidR="00594357">
        <w:rPr>
          <w:rFonts w:ascii="Times New Roman" w:hAnsi="Times New Roman" w:cs="Times New Roman"/>
          <w:sz w:val="24"/>
          <w:szCs w:val="24"/>
          <w:lang w:val="en-US"/>
        </w:rPr>
        <w:t>sufficiently ‘</w:t>
      </w:r>
      <w:r w:rsidR="00594357" w:rsidRPr="00FD1F6E">
        <w:rPr>
          <w:rFonts w:ascii="Times New Roman" w:hAnsi="Times New Roman" w:cs="Times New Roman"/>
          <w:sz w:val="24"/>
          <w:szCs w:val="24"/>
          <w:lang w:val="en-US"/>
        </w:rPr>
        <w:t>important</w:t>
      </w:r>
      <w:r w:rsidR="00594357">
        <w:rPr>
          <w:rFonts w:ascii="Times New Roman" w:hAnsi="Times New Roman" w:cs="Times New Roman"/>
          <w:sz w:val="24"/>
          <w:szCs w:val="24"/>
          <w:lang w:val="en-US"/>
        </w:rPr>
        <w:t xml:space="preserve">’, </w:t>
      </w:r>
      <w:r w:rsidR="00594357" w:rsidRPr="00FD1F6E">
        <w:rPr>
          <w:rFonts w:ascii="Times New Roman" w:hAnsi="Times New Roman" w:cs="Times New Roman"/>
          <w:sz w:val="24"/>
          <w:szCs w:val="24"/>
          <w:lang w:val="en-GB"/>
        </w:rPr>
        <w:t>PTC I consider</w:t>
      </w:r>
      <w:r w:rsidR="00594357">
        <w:rPr>
          <w:rFonts w:ascii="Times New Roman" w:hAnsi="Times New Roman" w:cs="Times New Roman"/>
          <w:sz w:val="24"/>
          <w:szCs w:val="24"/>
          <w:lang w:val="en-GB"/>
        </w:rPr>
        <w:t>ed it sufficient</w:t>
      </w:r>
      <w:r w:rsidR="00594357" w:rsidRPr="00FD1F6E">
        <w:rPr>
          <w:rFonts w:ascii="Times New Roman" w:hAnsi="Times New Roman" w:cs="Times New Roman"/>
          <w:sz w:val="24"/>
          <w:szCs w:val="24"/>
          <w:lang w:val="en-US"/>
        </w:rPr>
        <w:t xml:space="preserve"> </w:t>
      </w:r>
      <w:r w:rsidR="00594357">
        <w:rPr>
          <w:rFonts w:ascii="Times New Roman" w:hAnsi="Times New Roman" w:cs="Times New Roman"/>
          <w:sz w:val="24"/>
          <w:szCs w:val="24"/>
          <w:lang w:val="en-US"/>
        </w:rPr>
        <w:t>if</w:t>
      </w:r>
      <w:r w:rsidR="00594357" w:rsidRPr="00FD1F6E">
        <w:rPr>
          <w:rFonts w:ascii="Times New Roman" w:hAnsi="Times New Roman" w:cs="Times New Roman"/>
          <w:sz w:val="24"/>
          <w:szCs w:val="24"/>
          <w:lang w:val="en-US"/>
        </w:rPr>
        <w:t xml:space="preserve"> individuals most responsible for committing the crimes</w:t>
      </w:r>
      <w:r w:rsidR="00594357">
        <w:rPr>
          <w:rFonts w:ascii="Times New Roman" w:hAnsi="Times New Roman" w:cs="Times New Roman"/>
          <w:sz w:val="24"/>
          <w:szCs w:val="24"/>
          <w:lang w:val="en-US"/>
        </w:rPr>
        <w:t xml:space="preserve"> — the perpetrators — can be prosecuted</w:t>
      </w:r>
      <w:r w:rsidR="00594357" w:rsidRPr="00FD1F6E">
        <w:rPr>
          <w:rFonts w:ascii="Times New Roman" w:hAnsi="Times New Roman" w:cs="Times New Roman"/>
          <w:sz w:val="24"/>
          <w:szCs w:val="24"/>
          <w:lang w:val="en-US"/>
        </w:rPr>
        <w:t>.</w:t>
      </w:r>
      <w:r w:rsidR="00381073" w:rsidRPr="00FD1F6E">
        <w:rPr>
          <w:rStyle w:val="Rimandonotaapidipagina"/>
          <w:rFonts w:ascii="Times New Roman" w:hAnsi="Times New Roman" w:cs="Times New Roman"/>
          <w:sz w:val="24"/>
          <w:szCs w:val="24"/>
          <w:lang w:val="en-GB"/>
        </w:rPr>
        <w:footnoteReference w:id="35"/>
      </w:r>
    </w:p>
    <w:p w:rsidR="00594357" w:rsidRPr="00FD1F6E" w:rsidRDefault="00594357" w:rsidP="00CA0198">
      <w:pPr>
        <w:spacing w:after="0" w:line="360" w:lineRule="auto"/>
        <w:jc w:val="both"/>
        <w:rPr>
          <w:rFonts w:ascii="Times New Roman" w:hAnsi="Times New Roman" w:cs="Times New Roman"/>
          <w:sz w:val="24"/>
          <w:szCs w:val="24"/>
          <w:lang w:val="en-GB"/>
        </w:rPr>
      </w:pPr>
    </w:p>
    <w:p w:rsidR="00001886" w:rsidRPr="00FD1F6E" w:rsidRDefault="000C7DE1"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Second</w:t>
      </w:r>
      <w:r w:rsidR="00B34E9F" w:rsidRPr="00FD1F6E">
        <w:rPr>
          <w:rFonts w:ascii="Times New Roman" w:hAnsi="Times New Roman" w:cs="Times New Roman"/>
          <w:sz w:val="24"/>
          <w:szCs w:val="24"/>
          <w:lang w:val="en-GB"/>
        </w:rPr>
        <w:t xml:space="preserve">, PTC I </w:t>
      </w:r>
      <w:r w:rsidR="00107253" w:rsidRPr="00FD1F6E">
        <w:rPr>
          <w:rFonts w:ascii="Times New Roman" w:hAnsi="Times New Roman" w:cs="Times New Roman"/>
          <w:sz w:val="24"/>
          <w:szCs w:val="24"/>
          <w:lang w:val="en-GB"/>
        </w:rPr>
        <w:t>challenged</w:t>
      </w:r>
      <w:r w:rsidR="00001886" w:rsidRPr="00FD1F6E">
        <w:rPr>
          <w:rFonts w:ascii="Times New Roman" w:hAnsi="Times New Roman" w:cs="Times New Roman"/>
          <w:sz w:val="24"/>
          <w:szCs w:val="24"/>
          <w:lang w:val="en-GB"/>
        </w:rPr>
        <w:t xml:space="preserve"> the </w:t>
      </w:r>
      <w:r w:rsidR="00941354" w:rsidRPr="00FD1F6E">
        <w:rPr>
          <w:rFonts w:ascii="Times New Roman" w:hAnsi="Times New Roman" w:cs="Times New Roman"/>
          <w:sz w:val="24"/>
          <w:szCs w:val="24"/>
          <w:lang w:val="en-GB"/>
        </w:rPr>
        <w:t>OTP</w:t>
      </w:r>
      <w:r w:rsidR="00001886" w:rsidRPr="00FD1F6E">
        <w:rPr>
          <w:rFonts w:ascii="Times New Roman" w:hAnsi="Times New Roman" w:cs="Times New Roman"/>
          <w:sz w:val="24"/>
          <w:szCs w:val="24"/>
          <w:lang w:val="en-GB"/>
        </w:rPr>
        <w:t xml:space="preserve">’s </w:t>
      </w:r>
      <w:r w:rsidR="00594357">
        <w:rPr>
          <w:rFonts w:ascii="Times New Roman" w:hAnsi="Times New Roman" w:cs="Times New Roman"/>
          <w:sz w:val="24"/>
          <w:szCs w:val="24"/>
          <w:lang w:val="en-GB"/>
        </w:rPr>
        <w:t>conclusion based on its</w:t>
      </w:r>
      <w:r w:rsidR="00001886" w:rsidRPr="00FD1F6E">
        <w:rPr>
          <w:rFonts w:ascii="Times New Roman" w:hAnsi="Times New Roman" w:cs="Times New Roman"/>
          <w:sz w:val="24"/>
          <w:szCs w:val="24"/>
          <w:lang w:val="en-GB"/>
        </w:rPr>
        <w:t xml:space="preserve"> quantitative analysis of the victims of the alleged crimes. According to</w:t>
      </w:r>
      <w:r w:rsidR="003065B9" w:rsidRPr="00FD1F6E">
        <w:rPr>
          <w:rFonts w:ascii="Times New Roman" w:hAnsi="Times New Roman" w:cs="Times New Roman"/>
          <w:sz w:val="24"/>
          <w:szCs w:val="24"/>
          <w:lang w:val="en-GB"/>
        </w:rPr>
        <w:t xml:space="preserve"> </w:t>
      </w:r>
      <w:r w:rsidR="00001886" w:rsidRPr="00FD1F6E">
        <w:rPr>
          <w:rFonts w:ascii="Times New Roman" w:hAnsi="Times New Roman" w:cs="Times New Roman"/>
          <w:sz w:val="24"/>
          <w:szCs w:val="24"/>
          <w:lang w:val="en-GB"/>
        </w:rPr>
        <w:t>PTC I, t</w:t>
      </w:r>
      <w:r w:rsidR="00B73569" w:rsidRPr="00FD1F6E">
        <w:rPr>
          <w:rFonts w:ascii="Times New Roman" w:hAnsi="Times New Roman" w:cs="Times New Roman"/>
          <w:sz w:val="24"/>
          <w:szCs w:val="24"/>
          <w:lang w:val="en-GB"/>
        </w:rPr>
        <w:t xml:space="preserve">en killings, </w:t>
      </w:r>
      <w:r w:rsidR="003065B9" w:rsidRPr="00FD1F6E">
        <w:rPr>
          <w:rFonts w:ascii="Times New Roman" w:hAnsi="Times New Roman" w:cs="Times New Roman"/>
          <w:sz w:val="24"/>
          <w:szCs w:val="24"/>
          <w:lang w:val="en-GB"/>
        </w:rPr>
        <w:t>fifty</w:t>
      </w:r>
      <w:r w:rsidR="00393F9B">
        <w:rPr>
          <w:rFonts w:ascii="Times New Roman" w:hAnsi="Times New Roman" w:cs="Times New Roman"/>
          <w:sz w:val="24"/>
          <w:szCs w:val="24"/>
          <w:lang w:val="en-GB"/>
        </w:rPr>
        <w:t xml:space="preserve"> to </w:t>
      </w:r>
      <w:r w:rsidR="003065B9" w:rsidRPr="00FD1F6E">
        <w:rPr>
          <w:rFonts w:ascii="Times New Roman" w:hAnsi="Times New Roman" w:cs="Times New Roman"/>
          <w:sz w:val="24"/>
          <w:szCs w:val="24"/>
          <w:lang w:val="en-GB"/>
        </w:rPr>
        <w:t>fifty-five</w:t>
      </w:r>
      <w:r w:rsidR="00B73569" w:rsidRPr="00FD1F6E">
        <w:rPr>
          <w:rFonts w:ascii="Times New Roman" w:hAnsi="Times New Roman" w:cs="Times New Roman"/>
          <w:sz w:val="24"/>
          <w:szCs w:val="24"/>
          <w:lang w:val="en-GB"/>
        </w:rPr>
        <w:t xml:space="preserve"> injuries</w:t>
      </w:r>
      <w:r w:rsidR="000216B4" w:rsidRPr="00FD1F6E">
        <w:rPr>
          <w:rFonts w:ascii="Times New Roman" w:hAnsi="Times New Roman" w:cs="Times New Roman"/>
          <w:sz w:val="24"/>
          <w:szCs w:val="24"/>
          <w:lang w:val="en-GB"/>
        </w:rPr>
        <w:t>,</w:t>
      </w:r>
      <w:r w:rsidR="00B73569" w:rsidRPr="00FD1F6E">
        <w:rPr>
          <w:rFonts w:ascii="Times New Roman" w:hAnsi="Times New Roman" w:cs="Times New Roman"/>
          <w:sz w:val="24"/>
          <w:szCs w:val="24"/>
          <w:lang w:val="en-GB"/>
        </w:rPr>
        <w:t xml:space="preserve"> and </w:t>
      </w:r>
      <w:r w:rsidR="003065B9" w:rsidRPr="00FD1F6E">
        <w:rPr>
          <w:rFonts w:ascii="Times New Roman" w:hAnsi="Times New Roman" w:cs="Times New Roman"/>
          <w:sz w:val="24"/>
          <w:szCs w:val="24"/>
          <w:lang w:val="en-GB"/>
        </w:rPr>
        <w:t>potentially</w:t>
      </w:r>
      <w:r w:rsidR="00B73569" w:rsidRPr="00FD1F6E">
        <w:rPr>
          <w:rFonts w:ascii="Times New Roman" w:hAnsi="Times New Roman" w:cs="Times New Roman"/>
          <w:sz w:val="24"/>
          <w:szCs w:val="24"/>
          <w:lang w:val="en-GB"/>
        </w:rPr>
        <w:t xml:space="preserve"> hundreds of instances </w:t>
      </w:r>
      <w:r w:rsidR="003065B9" w:rsidRPr="00FD1F6E">
        <w:rPr>
          <w:rFonts w:ascii="Times New Roman" w:hAnsi="Times New Roman" w:cs="Times New Roman"/>
          <w:sz w:val="24"/>
          <w:szCs w:val="24"/>
          <w:lang w:val="en-GB"/>
        </w:rPr>
        <w:t>of</w:t>
      </w:r>
      <w:r w:rsidR="008B186B" w:rsidRPr="00FD1F6E">
        <w:rPr>
          <w:rFonts w:ascii="Times New Roman" w:hAnsi="Times New Roman" w:cs="Times New Roman"/>
          <w:sz w:val="24"/>
          <w:szCs w:val="24"/>
          <w:lang w:val="en-GB"/>
        </w:rPr>
        <w:t xml:space="preserve"> outrages and mistreatments were</w:t>
      </w:r>
      <w:r w:rsidR="00B73569" w:rsidRPr="00FD1F6E">
        <w:rPr>
          <w:rFonts w:ascii="Times New Roman" w:hAnsi="Times New Roman" w:cs="Times New Roman"/>
          <w:sz w:val="24"/>
          <w:szCs w:val="24"/>
          <w:lang w:val="en-GB"/>
        </w:rPr>
        <w:t xml:space="preserve"> ‘a compelling indicator of sufficient, and not insufficient gravity’.</w:t>
      </w:r>
      <w:r w:rsidR="00B73569" w:rsidRPr="00FD1F6E">
        <w:rPr>
          <w:rStyle w:val="Rimandonotaapidipagina"/>
          <w:rFonts w:ascii="Times New Roman" w:hAnsi="Times New Roman" w:cs="Times New Roman"/>
          <w:sz w:val="24"/>
          <w:szCs w:val="24"/>
          <w:lang w:val="en-GB"/>
        </w:rPr>
        <w:footnoteReference w:id="36"/>
      </w:r>
      <w:r w:rsidR="00B73569" w:rsidRPr="00FD1F6E">
        <w:rPr>
          <w:rFonts w:ascii="Times New Roman" w:hAnsi="Times New Roman" w:cs="Times New Roman"/>
          <w:sz w:val="24"/>
          <w:szCs w:val="24"/>
          <w:lang w:val="en-GB"/>
        </w:rPr>
        <w:t xml:space="preserve"> </w:t>
      </w:r>
    </w:p>
    <w:p w:rsidR="00B73569" w:rsidRDefault="00646BBE"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Third</w:t>
      </w:r>
      <w:r w:rsidR="00B73569" w:rsidRPr="00FD1F6E">
        <w:rPr>
          <w:rFonts w:ascii="Times New Roman" w:hAnsi="Times New Roman" w:cs="Times New Roman"/>
          <w:sz w:val="24"/>
          <w:szCs w:val="24"/>
          <w:lang w:val="en-GB"/>
        </w:rPr>
        <w:t xml:space="preserve">, </w:t>
      </w:r>
      <w:r w:rsidR="00584AA8" w:rsidRPr="00FD1F6E">
        <w:rPr>
          <w:rFonts w:ascii="Times New Roman" w:hAnsi="Times New Roman" w:cs="Times New Roman"/>
          <w:sz w:val="24"/>
          <w:szCs w:val="24"/>
          <w:lang w:val="en-GB"/>
        </w:rPr>
        <w:t>P</w:t>
      </w:r>
      <w:r w:rsidR="00B73569" w:rsidRPr="00FD1F6E">
        <w:rPr>
          <w:rFonts w:ascii="Times New Roman" w:hAnsi="Times New Roman" w:cs="Times New Roman"/>
          <w:sz w:val="24"/>
          <w:szCs w:val="24"/>
          <w:lang w:val="en-GB"/>
        </w:rPr>
        <w:t>T</w:t>
      </w:r>
      <w:r w:rsidR="00584AA8" w:rsidRPr="00FD1F6E">
        <w:rPr>
          <w:rFonts w:ascii="Times New Roman" w:hAnsi="Times New Roman" w:cs="Times New Roman"/>
          <w:sz w:val="24"/>
          <w:szCs w:val="24"/>
          <w:lang w:val="en-GB"/>
        </w:rPr>
        <w:t>C</w:t>
      </w:r>
      <w:r w:rsidR="00B73569" w:rsidRPr="00FD1F6E">
        <w:rPr>
          <w:rFonts w:ascii="Times New Roman" w:hAnsi="Times New Roman" w:cs="Times New Roman"/>
          <w:sz w:val="24"/>
          <w:szCs w:val="24"/>
          <w:lang w:val="en-GB"/>
        </w:rPr>
        <w:t xml:space="preserve"> I f</w:t>
      </w:r>
      <w:r w:rsidR="008B186B" w:rsidRPr="00FD1F6E">
        <w:rPr>
          <w:rFonts w:ascii="Times New Roman" w:hAnsi="Times New Roman" w:cs="Times New Roman"/>
          <w:sz w:val="24"/>
          <w:szCs w:val="24"/>
          <w:lang w:val="en-GB"/>
        </w:rPr>
        <w:t>oun</w:t>
      </w:r>
      <w:r w:rsidR="00B73569" w:rsidRPr="00FD1F6E">
        <w:rPr>
          <w:rFonts w:ascii="Times New Roman" w:hAnsi="Times New Roman" w:cs="Times New Roman"/>
          <w:sz w:val="24"/>
          <w:szCs w:val="24"/>
          <w:lang w:val="en-GB"/>
        </w:rPr>
        <w:t xml:space="preserve">d that the legal distinction </w:t>
      </w:r>
      <w:r w:rsidR="0073244B" w:rsidRPr="00FD1F6E">
        <w:rPr>
          <w:rFonts w:ascii="Times New Roman" w:hAnsi="Times New Roman" w:cs="Times New Roman"/>
          <w:sz w:val="24"/>
          <w:szCs w:val="24"/>
          <w:lang w:val="en-GB"/>
        </w:rPr>
        <w:t>between the crime</w:t>
      </w:r>
      <w:r w:rsidR="00584AA8" w:rsidRPr="00FD1F6E">
        <w:rPr>
          <w:rFonts w:ascii="Times New Roman" w:hAnsi="Times New Roman" w:cs="Times New Roman"/>
          <w:sz w:val="24"/>
          <w:szCs w:val="24"/>
          <w:lang w:val="en-GB"/>
        </w:rPr>
        <w:t>s</w:t>
      </w:r>
      <w:r w:rsidR="0073244B" w:rsidRPr="00FD1F6E">
        <w:rPr>
          <w:rFonts w:ascii="Times New Roman" w:hAnsi="Times New Roman" w:cs="Times New Roman"/>
          <w:sz w:val="24"/>
          <w:szCs w:val="24"/>
          <w:lang w:val="en-GB"/>
        </w:rPr>
        <w:t xml:space="preserve"> of outrage</w:t>
      </w:r>
      <w:r w:rsidR="00584AA8" w:rsidRPr="00FD1F6E">
        <w:rPr>
          <w:rFonts w:ascii="Times New Roman" w:hAnsi="Times New Roman" w:cs="Times New Roman"/>
          <w:sz w:val="24"/>
          <w:szCs w:val="24"/>
          <w:lang w:val="en-GB"/>
        </w:rPr>
        <w:t>s upon personal dignity</w:t>
      </w:r>
      <w:r w:rsidR="0073244B" w:rsidRPr="00FD1F6E">
        <w:rPr>
          <w:rFonts w:ascii="Times New Roman" w:hAnsi="Times New Roman" w:cs="Times New Roman"/>
          <w:sz w:val="24"/>
          <w:szCs w:val="24"/>
          <w:lang w:val="en-GB"/>
        </w:rPr>
        <w:t xml:space="preserve"> and torture </w:t>
      </w:r>
      <w:r w:rsidR="00B73569" w:rsidRPr="00FD1F6E">
        <w:rPr>
          <w:rFonts w:ascii="Times New Roman" w:hAnsi="Times New Roman" w:cs="Times New Roman"/>
          <w:sz w:val="24"/>
          <w:szCs w:val="24"/>
          <w:lang w:val="en-GB"/>
        </w:rPr>
        <w:t xml:space="preserve">envisaged by the </w:t>
      </w:r>
      <w:r w:rsidR="00941354" w:rsidRPr="00FD1F6E">
        <w:rPr>
          <w:rFonts w:ascii="Times New Roman" w:hAnsi="Times New Roman" w:cs="Times New Roman"/>
          <w:sz w:val="24"/>
          <w:szCs w:val="24"/>
          <w:lang w:val="en-GB"/>
        </w:rPr>
        <w:t>OTP</w:t>
      </w:r>
      <w:r w:rsidR="00B73569" w:rsidRPr="00FD1F6E">
        <w:rPr>
          <w:rFonts w:ascii="Times New Roman" w:hAnsi="Times New Roman" w:cs="Times New Roman"/>
          <w:sz w:val="24"/>
          <w:szCs w:val="24"/>
          <w:lang w:val="en-GB"/>
        </w:rPr>
        <w:t xml:space="preserve"> </w:t>
      </w:r>
      <w:r w:rsidR="008B186B" w:rsidRPr="00FD1F6E">
        <w:rPr>
          <w:rFonts w:ascii="Times New Roman" w:hAnsi="Times New Roman" w:cs="Times New Roman"/>
          <w:sz w:val="24"/>
          <w:szCs w:val="24"/>
          <w:lang w:val="en-GB"/>
        </w:rPr>
        <w:t>wa</w:t>
      </w:r>
      <w:r w:rsidR="00B73569" w:rsidRPr="00FD1F6E">
        <w:rPr>
          <w:rFonts w:ascii="Times New Roman" w:hAnsi="Times New Roman" w:cs="Times New Roman"/>
          <w:sz w:val="24"/>
          <w:szCs w:val="24"/>
          <w:lang w:val="en-GB"/>
        </w:rPr>
        <w:t xml:space="preserve">s premature since it was grounded only on the information available at </w:t>
      </w:r>
      <w:r w:rsidR="00594357">
        <w:rPr>
          <w:rFonts w:ascii="Times New Roman" w:hAnsi="Times New Roman" w:cs="Times New Roman"/>
          <w:sz w:val="24"/>
          <w:szCs w:val="24"/>
          <w:lang w:val="en-GB"/>
        </w:rPr>
        <w:t>the</w:t>
      </w:r>
      <w:r w:rsidR="00B73569" w:rsidRPr="00FD1F6E">
        <w:rPr>
          <w:rFonts w:ascii="Times New Roman" w:hAnsi="Times New Roman" w:cs="Times New Roman"/>
          <w:sz w:val="24"/>
          <w:szCs w:val="24"/>
          <w:lang w:val="en-GB"/>
        </w:rPr>
        <w:t xml:space="preserve"> preliminary</w:t>
      </w:r>
      <w:r w:rsidR="00594357">
        <w:rPr>
          <w:rFonts w:ascii="Times New Roman" w:hAnsi="Times New Roman" w:cs="Times New Roman"/>
          <w:sz w:val="24"/>
          <w:szCs w:val="24"/>
          <w:lang w:val="en-GB"/>
        </w:rPr>
        <w:t xml:space="preserve"> examination</w:t>
      </w:r>
      <w:r w:rsidR="00B73569" w:rsidRPr="00FD1F6E">
        <w:rPr>
          <w:rFonts w:ascii="Times New Roman" w:hAnsi="Times New Roman" w:cs="Times New Roman"/>
          <w:sz w:val="24"/>
          <w:szCs w:val="24"/>
          <w:lang w:val="en-GB"/>
        </w:rPr>
        <w:t xml:space="preserve"> stage</w:t>
      </w:r>
      <w:r w:rsidR="00107253" w:rsidRPr="00FD1F6E">
        <w:rPr>
          <w:rFonts w:ascii="Times New Roman" w:hAnsi="Times New Roman" w:cs="Times New Roman"/>
          <w:sz w:val="24"/>
          <w:szCs w:val="24"/>
          <w:lang w:val="en-GB"/>
        </w:rPr>
        <w:t xml:space="preserve">. PTC I interpreted the Decision Not to Investigate </w:t>
      </w:r>
      <w:r w:rsidR="0073244B" w:rsidRPr="00FD1F6E">
        <w:rPr>
          <w:rFonts w:ascii="Times New Roman" w:hAnsi="Times New Roman" w:cs="Times New Roman"/>
          <w:sz w:val="24"/>
          <w:szCs w:val="24"/>
          <w:lang w:val="en-GB"/>
        </w:rPr>
        <w:t>to mean</w:t>
      </w:r>
      <w:r w:rsidR="00107253" w:rsidRPr="00FD1F6E">
        <w:rPr>
          <w:rFonts w:ascii="Times New Roman" w:hAnsi="Times New Roman" w:cs="Times New Roman"/>
          <w:sz w:val="24"/>
          <w:szCs w:val="24"/>
          <w:lang w:val="en-GB"/>
        </w:rPr>
        <w:t xml:space="preserve"> that th</w:t>
      </w:r>
      <w:r w:rsidR="00594357">
        <w:rPr>
          <w:rFonts w:ascii="Times New Roman" w:hAnsi="Times New Roman" w:cs="Times New Roman"/>
          <w:sz w:val="24"/>
          <w:szCs w:val="24"/>
          <w:lang w:val="en-GB"/>
        </w:rPr>
        <w:t>e</w:t>
      </w:r>
      <w:r w:rsidR="00107253" w:rsidRPr="00FD1F6E">
        <w:rPr>
          <w:rFonts w:ascii="Times New Roman" w:hAnsi="Times New Roman" w:cs="Times New Roman"/>
          <w:sz w:val="24"/>
          <w:szCs w:val="24"/>
          <w:lang w:val="en-GB"/>
        </w:rPr>
        <w:t xml:space="preserve"> distinction between these two crimes led the </w:t>
      </w:r>
      <w:r w:rsidR="00941354" w:rsidRPr="00FD1F6E">
        <w:rPr>
          <w:rFonts w:ascii="Times New Roman" w:hAnsi="Times New Roman" w:cs="Times New Roman"/>
          <w:sz w:val="24"/>
          <w:szCs w:val="24"/>
          <w:lang w:val="en-GB"/>
        </w:rPr>
        <w:t>OTP</w:t>
      </w:r>
      <w:r w:rsidR="00107253" w:rsidRPr="00FD1F6E">
        <w:rPr>
          <w:rFonts w:ascii="Times New Roman" w:hAnsi="Times New Roman" w:cs="Times New Roman"/>
          <w:sz w:val="24"/>
          <w:szCs w:val="24"/>
          <w:lang w:val="en-GB"/>
        </w:rPr>
        <w:t xml:space="preserve"> to conclude against the sufficient gravity of the potential case. According to PTC I,</w:t>
      </w:r>
      <w:r w:rsidR="00584AA8" w:rsidRPr="00FD1F6E">
        <w:rPr>
          <w:rFonts w:ascii="Times New Roman" w:hAnsi="Times New Roman" w:cs="Times New Roman"/>
          <w:sz w:val="24"/>
          <w:szCs w:val="24"/>
          <w:lang w:val="en-GB"/>
        </w:rPr>
        <w:t xml:space="preserve"> this conclusion was erroneous.</w:t>
      </w:r>
      <w:r w:rsidR="00B73569" w:rsidRPr="00FD1F6E">
        <w:rPr>
          <w:rStyle w:val="Rimandonotaapidipagina"/>
          <w:rFonts w:ascii="Times New Roman" w:hAnsi="Times New Roman" w:cs="Times New Roman"/>
          <w:sz w:val="24"/>
          <w:szCs w:val="24"/>
          <w:lang w:val="en-GB"/>
        </w:rPr>
        <w:footnoteReference w:id="37"/>
      </w:r>
      <w:r w:rsidR="00B73569" w:rsidRPr="00FD1F6E">
        <w:rPr>
          <w:rFonts w:ascii="Times New Roman" w:hAnsi="Times New Roman" w:cs="Times New Roman"/>
          <w:sz w:val="24"/>
          <w:szCs w:val="24"/>
          <w:lang w:val="en-GB"/>
        </w:rPr>
        <w:t xml:space="preserve"> </w:t>
      </w:r>
    </w:p>
    <w:p w:rsidR="00594357" w:rsidRPr="00FD1F6E" w:rsidRDefault="00594357" w:rsidP="00CA0198">
      <w:pPr>
        <w:spacing w:after="0" w:line="360" w:lineRule="auto"/>
        <w:jc w:val="both"/>
        <w:rPr>
          <w:rFonts w:ascii="Times New Roman" w:hAnsi="Times New Roman" w:cs="Times New Roman"/>
          <w:sz w:val="24"/>
          <w:szCs w:val="24"/>
          <w:lang w:val="en-GB"/>
        </w:rPr>
      </w:pPr>
    </w:p>
    <w:p w:rsidR="00B73569" w:rsidRDefault="00BD76A7" w:rsidP="00001F7A">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Finally</w:t>
      </w:r>
      <w:r w:rsidR="008B186B" w:rsidRPr="00FD1F6E">
        <w:rPr>
          <w:rFonts w:ascii="Times New Roman" w:hAnsi="Times New Roman" w:cs="Times New Roman"/>
          <w:sz w:val="24"/>
          <w:szCs w:val="24"/>
          <w:lang w:val="en-GB"/>
        </w:rPr>
        <w:t>, PTC I considered</w:t>
      </w:r>
      <w:r w:rsidR="00C379CE" w:rsidRPr="00FD1F6E">
        <w:rPr>
          <w:rFonts w:ascii="Times New Roman" w:hAnsi="Times New Roman" w:cs="Times New Roman"/>
          <w:sz w:val="24"/>
          <w:szCs w:val="24"/>
          <w:lang w:val="en-GB"/>
        </w:rPr>
        <w:t xml:space="preserve"> the </w:t>
      </w:r>
      <w:r w:rsidR="00941354" w:rsidRPr="00FD1F6E">
        <w:rPr>
          <w:rFonts w:ascii="Times New Roman" w:hAnsi="Times New Roman" w:cs="Times New Roman"/>
          <w:sz w:val="24"/>
          <w:szCs w:val="24"/>
          <w:lang w:val="en-GB"/>
        </w:rPr>
        <w:t>OTP</w:t>
      </w:r>
      <w:r w:rsidR="00C379CE" w:rsidRPr="00FD1F6E">
        <w:rPr>
          <w:rFonts w:ascii="Times New Roman" w:hAnsi="Times New Roman" w:cs="Times New Roman"/>
          <w:sz w:val="24"/>
          <w:szCs w:val="24"/>
          <w:lang w:val="en-GB"/>
        </w:rPr>
        <w:t>’s conclusions regarding the manner of commission of the crimes</w:t>
      </w:r>
      <w:r w:rsidR="00C75C26" w:rsidRPr="00FD1F6E">
        <w:rPr>
          <w:rFonts w:ascii="Times New Roman" w:hAnsi="Times New Roman" w:cs="Times New Roman"/>
          <w:sz w:val="24"/>
          <w:szCs w:val="24"/>
          <w:lang w:val="en-GB"/>
        </w:rPr>
        <w:t xml:space="preserve"> to be </w:t>
      </w:r>
      <w:r w:rsidR="0073244B" w:rsidRPr="00FD1F6E">
        <w:rPr>
          <w:rFonts w:ascii="Times New Roman" w:hAnsi="Times New Roman" w:cs="Times New Roman"/>
          <w:sz w:val="24"/>
          <w:szCs w:val="24"/>
          <w:lang w:val="en-GB"/>
        </w:rPr>
        <w:t>poorly</w:t>
      </w:r>
      <w:r w:rsidR="00C75C26" w:rsidRPr="00FD1F6E">
        <w:rPr>
          <w:rFonts w:ascii="Times New Roman" w:hAnsi="Times New Roman" w:cs="Times New Roman"/>
          <w:sz w:val="24"/>
          <w:szCs w:val="24"/>
          <w:lang w:val="en-GB"/>
        </w:rPr>
        <w:t xml:space="preserve"> grounded</w:t>
      </w:r>
      <w:r w:rsidR="00584AA8" w:rsidRPr="00FD1F6E">
        <w:rPr>
          <w:rFonts w:ascii="Times New Roman" w:hAnsi="Times New Roman" w:cs="Times New Roman"/>
          <w:sz w:val="24"/>
          <w:szCs w:val="24"/>
          <w:lang w:val="en-GB"/>
        </w:rPr>
        <w:t>.</w:t>
      </w:r>
      <w:r w:rsidR="008B186B" w:rsidRPr="00FD1F6E">
        <w:rPr>
          <w:rFonts w:ascii="Times New Roman" w:hAnsi="Times New Roman" w:cs="Times New Roman"/>
          <w:sz w:val="24"/>
          <w:szCs w:val="24"/>
          <w:lang w:val="en-GB"/>
        </w:rPr>
        <w:t xml:space="preserve"> </w:t>
      </w:r>
      <w:r w:rsidR="00584AA8" w:rsidRPr="00FD1F6E">
        <w:rPr>
          <w:rFonts w:ascii="Times New Roman" w:hAnsi="Times New Roman" w:cs="Times New Roman"/>
          <w:sz w:val="24"/>
          <w:szCs w:val="24"/>
          <w:lang w:val="en-GB"/>
        </w:rPr>
        <w:t>Regarding the allegation</w:t>
      </w:r>
      <w:r w:rsidR="00594357">
        <w:rPr>
          <w:rFonts w:ascii="Times New Roman" w:hAnsi="Times New Roman" w:cs="Times New Roman"/>
          <w:sz w:val="24"/>
          <w:szCs w:val="24"/>
          <w:lang w:val="en-GB"/>
        </w:rPr>
        <w:t xml:space="preserve"> of IDF live fire </w:t>
      </w:r>
      <w:r w:rsidR="00594357">
        <w:rPr>
          <w:rFonts w:ascii="Times New Roman" w:hAnsi="Times New Roman" w:cs="Times New Roman"/>
          <w:i/>
          <w:sz w:val="24"/>
          <w:szCs w:val="24"/>
          <w:lang w:val="en-GB"/>
        </w:rPr>
        <w:t xml:space="preserve">before </w:t>
      </w:r>
      <w:r w:rsidR="00594357">
        <w:rPr>
          <w:rFonts w:ascii="Times New Roman" w:hAnsi="Times New Roman" w:cs="Times New Roman"/>
          <w:sz w:val="24"/>
          <w:szCs w:val="24"/>
          <w:lang w:val="en-GB"/>
        </w:rPr>
        <w:t>resistance was encountered during the boarding</w:t>
      </w:r>
      <w:r w:rsidR="00584AA8" w:rsidRPr="00FD1F6E">
        <w:rPr>
          <w:rFonts w:ascii="Times New Roman" w:hAnsi="Times New Roman" w:cs="Times New Roman"/>
          <w:sz w:val="24"/>
          <w:szCs w:val="24"/>
          <w:lang w:val="en-GB"/>
        </w:rPr>
        <w:t xml:space="preserve">, </w:t>
      </w:r>
      <w:r w:rsidR="008B186B" w:rsidRPr="00FD1F6E">
        <w:rPr>
          <w:rFonts w:ascii="Times New Roman" w:hAnsi="Times New Roman" w:cs="Times New Roman"/>
          <w:sz w:val="24"/>
          <w:szCs w:val="24"/>
          <w:lang w:val="en-GB"/>
        </w:rPr>
        <w:t xml:space="preserve">PTC I </w:t>
      </w:r>
      <w:r w:rsidR="00584AA8" w:rsidRPr="00FD1F6E">
        <w:rPr>
          <w:rFonts w:ascii="Times New Roman" w:hAnsi="Times New Roman" w:cs="Times New Roman"/>
          <w:sz w:val="24"/>
          <w:szCs w:val="24"/>
          <w:lang w:val="en-GB"/>
        </w:rPr>
        <w:t>crit</w:t>
      </w:r>
      <w:r w:rsidR="00001F7A" w:rsidRPr="00FD1F6E">
        <w:rPr>
          <w:rFonts w:ascii="Times New Roman" w:hAnsi="Times New Roman" w:cs="Times New Roman"/>
          <w:sz w:val="24"/>
          <w:szCs w:val="24"/>
          <w:lang w:val="en-GB"/>
        </w:rPr>
        <w:t>icised the OTP’s concern about ‘</w:t>
      </w:r>
      <w:r w:rsidR="00584AA8" w:rsidRPr="00FD1F6E">
        <w:rPr>
          <w:rFonts w:ascii="Times New Roman" w:hAnsi="Times New Roman" w:cs="Times New Roman"/>
          <w:sz w:val="24"/>
          <w:szCs w:val="24"/>
          <w:lang w:val="en-GB"/>
        </w:rPr>
        <w:t>sig</w:t>
      </w:r>
      <w:r w:rsidR="00001F7A" w:rsidRPr="00FD1F6E">
        <w:rPr>
          <w:rFonts w:ascii="Times New Roman" w:hAnsi="Times New Roman" w:cs="Times New Roman"/>
          <w:sz w:val="24"/>
          <w:szCs w:val="24"/>
          <w:lang w:val="en-GB"/>
        </w:rPr>
        <w:t>nificantly conflicting accounts’, making it ‘</w:t>
      </w:r>
      <w:r w:rsidR="00584AA8" w:rsidRPr="00FD1F6E">
        <w:rPr>
          <w:rFonts w:ascii="Times New Roman" w:hAnsi="Times New Roman" w:cs="Times New Roman"/>
          <w:sz w:val="24"/>
          <w:szCs w:val="24"/>
          <w:lang w:val="en-GB"/>
        </w:rPr>
        <w:t>difficult to establish</w:t>
      </w:r>
      <w:r w:rsidR="00001F7A" w:rsidRPr="00FD1F6E">
        <w:rPr>
          <w:rFonts w:ascii="Times New Roman" w:hAnsi="Times New Roman" w:cs="Times New Roman"/>
          <w:sz w:val="24"/>
          <w:szCs w:val="24"/>
          <w:lang w:val="en-GB"/>
        </w:rPr>
        <w:t xml:space="preserve"> the exact </w:t>
      </w:r>
      <w:r w:rsidR="00001F7A" w:rsidRPr="00FD1F6E">
        <w:rPr>
          <w:rFonts w:ascii="Times New Roman" w:hAnsi="Times New Roman" w:cs="Times New Roman"/>
          <w:sz w:val="24"/>
          <w:szCs w:val="24"/>
          <w:lang w:val="en-GB"/>
        </w:rPr>
        <w:lastRenderedPageBreak/>
        <w:t>chain of events’; i</w:t>
      </w:r>
      <w:r w:rsidR="00584AA8" w:rsidRPr="00FD1F6E">
        <w:rPr>
          <w:rFonts w:ascii="Times New Roman" w:hAnsi="Times New Roman" w:cs="Times New Roman"/>
          <w:sz w:val="24"/>
          <w:szCs w:val="24"/>
          <w:lang w:val="en-GB"/>
        </w:rPr>
        <w:t>n answer to this, the majority cons</w:t>
      </w:r>
      <w:r w:rsidR="00001F7A" w:rsidRPr="00FD1F6E">
        <w:rPr>
          <w:rFonts w:ascii="Times New Roman" w:hAnsi="Times New Roman" w:cs="Times New Roman"/>
          <w:sz w:val="24"/>
          <w:szCs w:val="24"/>
          <w:lang w:val="en-GB"/>
        </w:rPr>
        <w:t>idered that the OTP should not ‘</w:t>
      </w:r>
      <w:r w:rsidR="00584AA8" w:rsidRPr="00FD1F6E">
        <w:rPr>
          <w:rFonts w:ascii="Times New Roman" w:hAnsi="Times New Roman" w:cs="Times New Roman"/>
          <w:sz w:val="24"/>
          <w:szCs w:val="24"/>
          <w:lang w:val="en-GB"/>
        </w:rPr>
        <w:t xml:space="preserve">disregard available information other than when that </w:t>
      </w:r>
      <w:r w:rsidR="00001F7A" w:rsidRPr="00FD1F6E">
        <w:rPr>
          <w:rFonts w:ascii="Times New Roman" w:hAnsi="Times New Roman" w:cs="Times New Roman"/>
          <w:sz w:val="24"/>
          <w:szCs w:val="24"/>
          <w:lang w:val="en-GB"/>
        </w:rPr>
        <w:t>i</w:t>
      </w:r>
      <w:r w:rsidR="00594357">
        <w:rPr>
          <w:rFonts w:ascii="Times New Roman" w:hAnsi="Times New Roman" w:cs="Times New Roman"/>
          <w:sz w:val="24"/>
          <w:szCs w:val="24"/>
          <w:lang w:val="en-GB"/>
        </w:rPr>
        <w:t xml:space="preserve">nformation is manifestly false’. Where </w:t>
      </w:r>
      <w:r w:rsidR="00584AA8" w:rsidRPr="00FD1F6E">
        <w:rPr>
          <w:rFonts w:ascii="Times New Roman" w:hAnsi="Times New Roman" w:cs="Times New Roman"/>
          <w:sz w:val="24"/>
          <w:szCs w:val="24"/>
          <w:lang w:val="en-GB"/>
        </w:rPr>
        <w:t>events are unclear or conflicting accounts exist</w:t>
      </w:r>
      <w:r w:rsidR="00001F7A" w:rsidRPr="00FD1F6E">
        <w:rPr>
          <w:rFonts w:ascii="Times New Roman" w:hAnsi="Times New Roman" w:cs="Times New Roman"/>
          <w:sz w:val="24"/>
          <w:szCs w:val="24"/>
          <w:lang w:val="en-GB"/>
        </w:rPr>
        <w:t xml:space="preserve"> – </w:t>
      </w:r>
      <w:r w:rsidR="00594357">
        <w:rPr>
          <w:rFonts w:ascii="Times New Roman" w:hAnsi="Times New Roman" w:cs="Times New Roman"/>
          <w:sz w:val="24"/>
          <w:szCs w:val="24"/>
          <w:lang w:val="en-GB"/>
        </w:rPr>
        <w:t>as with regard to the use of liv</w:t>
      </w:r>
      <w:r w:rsidR="00001F7A" w:rsidRPr="00FD1F6E">
        <w:rPr>
          <w:rFonts w:ascii="Times New Roman" w:hAnsi="Times New Roman" w:cs="Times New Roman"/>
          <w:sz w:val="24"/>
          <w:szCs w:val="24"/>
          <w:lang w:val="en-GB"/>
        </w:rPr>
        <w:t>e fire</w:t>
      </w:r>
      <w:r w:rsidR="00001F7A" w:rsidRPr="00FD1F6E">
        <w:rPr>
          <w:rFonts w:ascii="Times New Roman" w:hAnsi="Times New Roman" w:cs="Times New Roman"/>
          <w:i/>
          <w:sz w:val="24"/>
          <w:szCs w:val="24"/>
          <w:lang w:val="en-GB"/>
        </w:rPr>
        <w:t xml:space="preserve"> </w:t>
      </w:r>
      <w:r w:rsidR="00001F7A" w:rsidRPr="00FD1F6E">
        <w:rPr>
          <w:rFonts w:ascii="Times New Roman" w:hAnsi="Times New Roman" w:cs="Times New Roman"/>
          <w:sz w:val="24"/>
          <w:szCs w:val="24"/>
          <w:lang w:val="en-GB"/>
        </w:rPr>
        <w:t xml:space="preserve">– </w:t>
      </w:r>
      <w:r w:rsidR="00584AA8" w:rsidRPr="00FD1F6E">
        <w:rPr>
          <w:rFonts w:ascii="Times New Roman" w:hAnsi="Times New Roman" w:cs="Times New Roman"/>
          <w:sz w:val="24"/>
          <w:szCs w:val="24"/>
          <w:lang w:val="en-GB"/>
        </w:rPr>
        <w:t>this called</w:t>
      </w:r>
      <w:r w:rsidR="00001F7A" w:rsidRPr="00FD1F6E">
        <w:rPr>
          <w:rFonts w:ascii="Times New Roman" w:hAnsi="Times New Roman" w:cs="Times New Roman"/>
          <w:sz w:val="24"/>
          <w:szCs w:val="24"/>
          <w:lang w:val="en-GB"/>
        </w:rPr>
        <w:t xml:space="preserve"> for an investigation</w:t>
      </w:r>
      <w:r w:rsidR="00584AA8" w:rsidRPr="00FD1F6E">
        <w:rPr>
          <w:rFonts w:ascii="Times New Roman" w:hAnsi="Times New Roman" w:cs="Times New Roman"/>
          <w:sz w:val="24"/>
          <w:szCs w:val="24"/>
          <w:lang w:val="en-GB"/>
        </w:rPr>
        <w:t>.</w:t>
      </w:r>
      <w:r w:rsidRPr="00FD1F6E">
        <w:rPr>
          <w:rStyle w:val="Rimandonotaapidipagina"/>
          <w:rFonts w:ascii="Times New Roman" w:hAnsi="Times New Roman" w:cs="Times New Roman"/>
          <w:sz w:val="24"/>
          <w:szCs w:val="24"/>
          <w:lang w:val="en-GB"/>
        </w:rPr>
        <w:footnoteReference w:id="38"/>
      </w:r>
      <w:r w:rsidR="00784709" w:rsidRPr="00FD1F6E">
        <w:rPr>
          <w:rFonts w:ascii="Times New Roman" w:hAnsi="Times New Roman" w:cs="Times New Roman"/>
          <w:sz w:val="24"/>
          <w:szCs w:val="24"/>
          <w:lang w:val="en-GB"/>
        </w:rPr>
        <w:t xml:space="preserve"> Regarding the other allegations, PTC I </w:t>
      </w:r>
      <w:r w:rsidR="00594357">
        <w:rPr>
          <w:rFonts w:ascii="Times New Roman" w:hAnsi="Times New Roman" w:cs="Times New Roman"/>
          <w:sz w:val="24"/>
          <w:szCs w:val="24"/>
          <w:lang w:val="en-GB"/>
        </w:rPr>
        <w:t xml:space="preserve">further </w:t>
      </w:r>
      <w:r w:rsidR="00784709" w:rsidRPr="00FD1F6E">
        <w:rPr>
          <w:rFonts w:ascii="Times New Roman" w:hAnsi="Times New Roman" w:cs="Times New Roman"/>
          <w:sz w:val="24"/>
          <w:szCs w:val="24"/>
          <w:lang w:val="en-GB"/>
        </w:rPr>
        <w:t>considered that the OTP had erred by reaching an ‘unreasonable’ conclusion concerning the abuse of detained passengers,</w:t>
      </w:r>
      <w:r w:rsidR="00784709" w:rsidRPr="00FD1F6E">
        <w:rPr>
          <w:rStyle w:val="Rimandonotaapidipagina"/>
          <w:rFonts w:ascii="Times New Roman" w:hAnsi="Times New Roman" w:cs="Times New Roman"/>
          <w:sz w:val="24"/>
          <w:szCs w:val="24"/>
          <w:lang w:val="en-GB"/>
        </w:rPr>
        <w:footnoteReference w:id="39"/>
      </w:r>
      <w:r w:rsidR="00784709" w:rsidRPr="00FD1F6E">
        <w:rPr>
          <w:rFonts w:ascii="Times New Roman" w:hAnsi="Times New Roman" w:cs="Times New Roman"/>
          <w:sz w:val="24"/>
          <w:szCs w:val="24"/>
          <w:lang w:val="en-GB"/>
        </w:rPr>
        <w:t xml:space="preserve"> and failed to recognise reasonable alternative explanations regarding brutality and the concentration of crimes aboard the </w:t>
      </w:r>
      <w:r w:rsidR="00784709" w:rsidRPr="00FD1F6E">
        <w:rPr>
          <w:rFonts w:ascii="Times New Roman" w:hAnsi="Times New Roman" w:cs="Times New Roman"/>
          <w:i/>
          <w:sz w:val="24"/>
          <w:szCs w:val="24"/>
          <w:lang w:val="en-GB"/>
        </w:rPr>
        <w:t>Mavi M</w:t>
      </w:r>
      <w:r w:rsidR="003A2EB5" w:rsidRPr="00FD1F6E">
        <w:rPr>
          <w:rFonts w:ascii="Times New Roman" w:hAnsi="Times New Roman" w:cs="Times New Roman"/>
          <w:i/>
          <w:sz w:val="24"/>
          <w:szCs w:val="24"/>
          <w:lang w:val="en-GB"/>
        </w:rPr>
        <w:t>armara</w:t>
      </w:r>
      <w:r w:rsidR="003A2EB5" w:rsidRPr="00FD1F6E">
        <w:rPr>
          <w:rFonts w:ascii="Times New Roman" w:hAnsi="Times New Roman" w:cs="Times New Roman"/>
          <w:sz w:val="24"/>
          <w:szCs w:val="24"/>
          <w:lang w:val="en-GB"/>
        </w:rPr>
        <w:t>.</w:t>
      </w:r>
      <w:r w:rsidR="003A2EB5" w:rsidRPr="00FD1F6E">
        <w:rPr>
          <w:rStyle w:val="Rimandonotaapidipagina"/>
          <w:rFonts w:ascii="Times New Roman" w:hAnsi="Times New Roman" w:cs="Times New Roman"/>
          <w:sz w:val="24"/>
          <w:szCs w:val="24"/>
          <w:lang w:val="en-GB"/>
        </w:rPr>
        <w:footnoteReference w:id="40"/>
      </w:r>
    </w:p>
    <w:p w:rsidR="00594357" w:rsidRPr="00FD1F6E" w:rsidRDefault="00594357" w:rsidP="00001F7A">
      <w:pPr>
        <w:spacing w:after="0" w:line="360" w:lineRule="auto"/>
        <w:jc w:val="both"/>
        <w:rPr>
          <w:rFonts w:ascii="Times New Roman" w:hAnsi="Times New Roman" w:cs="Times New Roman"/>
          <w:sz w:val="24"/>
          <w:szCs w:val="24"/>
          <w:lang w:val="en-GB"/>
        </w:rPr>
      </w:pPr>
    </w:p>
    <w:p w:rsidR="00107253" w:rsidRPr="00FD1F6E" w:rsidRDefault="00107253"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In light of these remarks, PTC I</w:t>
      </w:r>
      <w:r w:rsidR="008B186B" w:rsidRPr="00FD1F6E">
        <w:rPr>
          <w:rFonts w:ascii="Times New Roman" w:hAnsi="Times New Roman" w:cs="Times New Roman"/>
          <w:sz w:val="24"/>
          <w:szCs w:val="24"/>
          <w:lang w:val="en-GB"/>
        </w:rPr>
        <w:t xml:space="preserve"> considered the </w:t>
      </w:r>
      <w:r w:rsidR="00941354" w:rsidRPr="00FD1F6E">
        <w:rPr>
          <w:rFonts w:ascii="Times New Roman" w:hAnsi="Times New Roman" w:cs="Times New Roman"/>
          <w:sz w:val="24"/>
          <w:szCs w:val="24"/>
          <w:lang w:val="en-GB"/>
        </w:rPr>
        <w:t>OTP</w:t>
      </w:r>
      <w:r w:rsidR="008B186B" w:rsidRPr="00FD1F6E">
        <w:rPr>
          <w:rFonts w:ascii="Times New Roman" w:hAnsi="Times New Roman" w:cs="Times New Roman"/>
          <w:sz w:val="24"/>
          <w:szCs w:val="24"/>
          <w:lang w:val="en-GB"/>
        </w:rPr>
        <w:t>’s assessment of gravity</w:t>
      </w:r>
      <w:r w:rsidR="0073244B" w:rsidRPr="00FD1F6E">
        <w:rPr>
          <w:rFonts w:ascii="Times New Roman" w:hAnsi="Times New Roman" w:cs="Times New Roman"/>
          <w:sz w:val="24"/>
          <w:szCs w:val="24"/>
          <w:lang w:val="en-GB"/>
        </w:rPr>
        <w:t xml:space="preserve"> to be flawed</w:t>
      </w:r>
      <w:r w:rsidR="008B186B" w:rsidRPr="00FD1F6E">
        <w:rPr>
          <w:rFonts w:ascii="Times New Roman" w:hAnsi="Times New Roman" w:cs="Times New Roman"/>
          <w:sz w:val="24"/>
          <w:szCs w:val="24"/>
          <w:lang w:val="en-GB"/>
        </w:rPr>
        <w:t>, and</w:t>
      </w:r>
      <w:r w:rsidRPr="00FD1F6E">
        <w:rPr>
          <w:rFonts w:ascii="Times New Roman" w:hAnsi="Times New Roman" w:cs="Times New Roman"/>
          <w:sz w:val="24"/>
          <w:szCs w:val="24"/>
          <w:lang w:val="en-GB"/>
        </w:rPr>
        <w:t xml:space="preserve"> requested the </w:t>
      </w:r>
      <w:r w:rsidR="00941354" w:rsidRPr="00FD1F6E">
        <w:rPr>
          <w:rFonts w:ascii="Times New Roman" w:hAnsi="Times New Roman" w:cs="Times New Roman"/>
          <w:sz w:val="24"/>
          <w:szCs w:val="24"/>
          <w:lang w:val="en-GB"/>
        </w:rPr>
        <w:t>OTP</w:t>
      </w:r>
      <w:r w:rsidRPr="00FD1F6E">
        <w:rPr>
          <w:rFonts w:ascii="Times New Roman" w:hAnsi="Times New Roman" w:cs="Times New Roman"/>
          <w:sz w:val="24"/>
          <w:szCs w:val="24"/>
          <w:lang w:val="en-GB"/>
        </w:rPr>
        <w:t xml:space="preserve"> to reconsider its Decision Not to Investigate.</w:t>
      </w:r>
    </w:p>
    <w:p w:rsidR="00107253" w:rsidRPr="00FD1F6E" w:rsidRDefault="00107253" w:rsidP="00CA0198">
      <w:pPr>
        <w:spacing w:after="0" w:line="360" w:lineRule="auto"/>
        <w:jc w:val="both"/>
        <w:rPr>
          <w:rFonts w:ascii="Times New Roman" w:hAnsi="Times New Roman" w:cs="Times New Roman"/>
          <w:sz w:val="24"/>
          <w:szCs w:val="24"/>
          <w:lang w:val="en-GB"/>
        </w:rPr>
      </w:pPr>
    </w:p>
    <w:p w:rsidR="008B186B" w:rsidRPr="00FD1F6E" w:rsidRDefault="008B186B" w:rsidP="00CA0198">
      <w:pPr>
        <w:spacing w:after="0" w:line="360" w:lineRule="auto"/>
        <w:jc w:val="both"/>
        <w:rPr>
          <w:rFonts w:ascii="Times New Roman" w:hAnsi="Times New Roman" w:cs="Times New Roman"/>
          <w:b/>
          <w:sz w:val="24"/>
          <w:szCs w:val="24"/>
          <w:lang w:val="en-GB"/>
        </w:rPr>
      </w:pPr>
      <w:r w:rsidRPr="00FD1F6E">
        <w:rPr>
          <w:rFonts w:ascii="Times New Roman" w:hAnsi="Times New Roman" w:cs="Times New Roman"/>
          <w:b/>
          <w:sz w:val="24"/>
          <w:szCs w:val="24"/>
          <w:lang w:val="en-GB"/>
        </w:rPr>
        <w:t xml:space="preserve">5. </w:t>
      </w:r>
      <w:r w:rsidR="00941354" w:rsidRPr="00FD1F6E">
        <w:rPr>
          <w:rFonts w:ascii="Times New Roman" w:hAnsi="Times New Roman" w:cs="Times New Roman"/>
          <w:b/>
          <w:sz w:val="24"/>
          <w:szCs w:val="24"/>
          <w:lang w:val="en-GB"/>
        </w:rPr>
        <w:t xml:space="preserve">On Some Points of Disagreement between </w:t>
      </w:r>
      <w:r w:rsidRPr="00FD1F6E">
        <w:rPr>
          <w:rFonts w:ascii="Times New Roman" w:hAnsi="Times New Roman" w:cs="Times New Roman"/>
          <w:b/>
          <w:sz w:val="24"/>
          <w:szCs w:val="24"/>
          <w:lang w:val="en-GB"/>
        </w:rPr>
        <w:t>the</w:t>
      </w:r>
      <w:r w:rsidR="00941354" w:rsidRPr="00FD1F6E">
        <w:rPr>
          <w:rFonts w:ascii="Times New Roman" w:hAnsi="Times New Roman" w:cs="Times New Roman"/>
          <w:b/>
          <w:sz w:val="24"/>
          <w:szCs w:val="24"/>
          <w:lang w:val="en-GB"/>
        </w:rPr>
        <w:t xml:space="preserve"> OTP and</w:t>
      </w:r>
      <w:r w:rsidRPr="00FD1F6E">
        <w:rPr>
          <w:rFonts w:ascii="Times New Roman" w:hAnsi="Times New Roman" w:cs="Times New Roman"/>
          <w:b/>
          <w:sz w:val="24"/>
          <w:szCs w:val="24"/>
          <w:lang w:val="en-GB"/>
        </w:rPr>
        <w:t xml:space="preserve"> PTC I</w:t>
      </w:r>
    </w:p>
    <w:p w:rsidR="00D01E04" w:rsidRDefault="00AE43B8"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PTC I</w:t>
      </w:r>
      <w:r w:rsidR="0055798A" w:rsidRPr="00FD1F6E">
        <w:rPr>
          <w:rFonts w:ascii="Times New Roman" w:hAnsi="Times New Roman" w:cs="Times New Roman"/>
          <w:sz w:val="24"/>
          <w:szCs w:val="24"/>
          <w:lang w:val="en-GB"/>
        </w:rPr>
        <w:t xml:space="preserve">’s </w:t>
      </w:r>
      <w:r w:rsidR="00D5122C" w:rsidRPr="00FD1F6E">
        <w:rPr>
          <w:rFonts w:ascii="Times New Roman" w:hAnsi="Times New Roman" w:cs="Times New Roman"/>
          <w:sz w:val="24"/>
          <w:szCs w:val="24"/>
          <w:lang w:val="en-GB"/>
        </w:rPr>
        <w:t>analysis of</w:t>
      </w:r>
      <w:r w:rsidR="0055798A" w:rsidRPr="00FD1F6E">
        <w:rPr>
          <w:rFonts w:ascii="Times New Roman" w:hAnsi="Times New Roman" w:cs="Times New Roman"/>
          <w:sz w:val="24"/>
          <w:szCs w:val="24"/>
          <w:lang w:val="en-GB"/>
        </w:rPr>
        <w:t xml:space="preserve"> the OT</w:t>
      </w:r>
      <w:r w:rsidR="00941354" w:rsidRPr="00FD1F6E">
        <w:rPr>
          <w:rFonts w:ascii="Times New Roman" w:hAnsi="Times New Roman" w:cs="Times New Roman"/>
          <w:sz w:val="24"/>
          <w:szCs w:val="24"/>
          <w:lang w:val="en-GB"/>
        </w:rPr>
        <w:t>P</w:t>
      </w:r>
      <w:r w:rsidRPr="00FD1F6E">
        <w:rPr>
          <w:rFonts w:ascii="Times New Roman" w:hAnsi="Times New Roman" w:cs="Times New Roman"/>
          <w:sz w:val="24"/>
          <w:szCs w:val="24"/>
          <w:lang w:val="en-GB"/>
        </w:rPr>
        <w:t>’s assessment of the gravity issue in the Decision Not to Investigate</w:t>
      </w:r>
      <w:r w:rsidR="0055798A" w:rsidRPr="00FD1F6E">
        <w:rPr>
          <w:rFonts w:ascii="Times New Roman" w:hAnsi="Times New Roman" w:cs="Times New Roman"/>
          <w:sz w:val="24"/>
          <w:szCs w:val="24"/>
          <w:lang w:val="en-GB"/>
        </w:rPr>
        <w:t xml:space="preserve"> </w:t>
      </w:r>
      <w:r w:rsidR="00393F9B">
        <w:rPr>
          <w:rFonts w:ascii="Times New Roman" w:hAnsi="Times New Roman" w:cs="Times New Roman"/>
          <w:sz w:val="24"/>
          <w:szCs w:val="24"/>
          <w:lang w:val="en-GB"/>
        </w:rPr>
        <w:t>has</w:t>
      </w:r>
      <w:r w:rsidR="00D5122C" w:rsidRPr="00FD1F6E">
        <w:rPr>
          <w:rFonts w:ascii="Times New Roman" w:hAnsi="Times New Roman" w:cs="Times New Roman"/>
          <w:sz w:val="24"/>
          <w:szCs w:val="24"/>
          <w:lang w:val="en-GB"/>
        </w:rPr>
        <w:t xml:space="preserve"> led to</w:t>
      </w:r>
      <w:r w:rsidRPr="00FD1F6E">
        <w:rPr>
          <w:rFonts w:ascii="Times New Roman" w:hAnsi="Times New Roman" w:cs="Times New Roman"/>
          <w:sz w:val="24"/>
          <w:szCs w:val="24"/>
          <w:lang w:val="en-GB"/>
        </w:rPr>
        <w:t xml:space="preserve"> a number of criticism</w:t>
      </w:r>
      <w:r w:rsidR="0055798A" w:rsidRPr="00FD1F6E">
        <w:rPr>
          <w:rFonts w:ascii="Times New Roman" w:hAnsi="Times New Roman" w:cs="Times New Roman"/>
          <w:sz w:val="24"/>
          <w:szCs w:val="24"/>
          <w:lang w:val="en-GB"/>
        </w:rPr>
        <w:t>s</w:t>
      </w:r>
      <w:r w:rsidRPr="00FD1F6E">
        <w:rPr>
          <w:rFonts w:ascii="Times New Roman" w:hAnsi="Times New Roman" w:cs="Times New Roman"/>
          <w:sz w:val="24"/>
          <w:szCs w:val="24"/>
          <w:lang w:val="en-GB"/>
        </w:rPr>
        <w:t>;</w:t>
      </w:r>
      <w:r w:rsidR="00D5122C" w:rsidRPr="00FD1F6E">
        <w:rPr>
          <w:rFonts w:ascii="Times New Roman" w:hAnsi="Times New Roman" w:cs="Times New Roman"/>
          <w:sz w:val="24"/>
          <w:szCs w:val="24"/>
          <w:lang w:val="en-GB"/>
        </w:rPr>
        <w:t xml:space="preserve"> in particular,</w:t>
      </w:r>
      <w:r w:rsidRPr="00FD1F6E">
        <w:rPr>
          <w:rFonts w:ascii="Times New Roman" w:hAnsi="Times New Roman" w:cs="Times New Roman"/>
          <w:sz w:val="24"/>
          <w:szCs w:val="24"/>
          <w:lang w:val="en-GB"/>
        </w:rPr>
        <w:t xml:space="preserve"> its scrutiny has been considered </w:t>
      </w:r>
      <w:r w:rsidR="00D5122C" w:rsidRPr="00FD1F6E">
        <w:rPr>
          <w:rFonts w:ascii="Times New Roman" w:hAnsi="Times New Roman" w:cs="Times New Roman"/>
          <w:sz w:val="24"/>
          <w:szCs w:val="24"/>
          <w:lang w:val="en-GB"/>
        </w:rPr>
        <w:t xml:space="preserve">inconsistent </w:t>
      </w:r>
      <w:r w:rsidRPr="00FD1F6E">
        <w:rPr>
          <w:rFonts w:ascii="Times New Roman" w:hAnsi="Times New Roman" w:cs="Times New Roman"/>
          <w:sz w:val="24"/>
          <w:szCs w:val="24"/>
          <w:lang w:val="en-GB"/>
        </w:rPr>
        <w:t xml:space="preserve">with </w:t>
      </w:r>
      <w:r w:rsidR="00D5122C" w:rsidRPr="00FD1F6E">
        <w:rPr>
          <w:rFonts w:ascii="Times New Roman" w:hAnsi="Times New Roman" w:cs="Times New Roman"/>
          <w:sz w:val="24"/>
          <w:szCs w:val="24"/>
          <w:lang w:val="en-GB"/>
        </w:rPr>
        <w:t>i</w:t>
      </w:r>
      <w:r w:rsidRPr="00FD1F6E">
        <w:rPr>
          <w:rFonts w:ascii="Times New Roman" w:hAnsi="Times New Roman" w:cs="Times New Roman"/>
          <w:sz w:val="24"/>
          <w:szCs w:val="24"/>
          <w:lang w:val="en-GB"/>
        </w:rPr>
        <w:t>t</w:t>
      </w:r>
      <w:r w:rsidR="00D5122C" w:rsidRPr="00FD1F6E">
        <w:rPr>
          <w:rFonts w:ascii="Times New Roman" w:hAnsi="Times New Roman" w:cs="Times New Roman"/>
          <w:sz w:val="24"/>
          <w:szCs w:val="24"/>
          <w:lang w:val="en-GB"/>
        </w:rPr>
        <w:t xml:space="preserve">s </w:t>
      </w:r>
      <w:r w:rsidRPr="00FD1F6E">
        <w:rPr>
          <w:rFonts w:ascii="Times New Roman" w:hAnsi="Times New Roman" w:cs="Times New Roman"/>
          <w:sz w:val="24"/>
          <w:szCs w:val="24"/>
          <w:lang w:val="en-GB"/>
        </w:rPr>
        <w:t xml:space="preserve">powers pursuant to Article 53(3)(a), and thus </w:t>
      </w:r>
      <w:r w:rsidR="00BA1F21" w:rsidRPr="00FD1F6E">
        <w:rPr>
          <w:rFonts w:ascii="Times New Roman" w:hAnsi="Times New Roman" w:cs="Times New Roman"/>
          <w:sz w:val="24"/>
          <w:szCs w:val="24"/>
          <w:lang w:val="en-GB"/>
        </w:rPr>
        <w:t>a violation of</w:t>
      </w:r>
      <w:r w:rsidRPr="00FD1F6E">
        <w:rPr>
          <w:rFonts w:ascii="Times New Roman" w:hAnsi="Times New Roman" w:cs="Times New Roman"/>
          <w:sz w:val="24"/>
          <w:szCs w:val="24"/>
          <w:lang w:val="en-GB"/>
        </w:rPr>
        <w:t xml:space="preserve"> the independence and discretional power of the O</w:t>
      </w:r>
      <w:r w:rsidR="00941354" w:rsidRPr="00FD1F6E">
        <w:rPr>
          <w:rFonts w:ascii="Times New Roman" w:hAnsi="Times New Roman" w:cs="Times New Roman"/>
          <w:sz w:val="24"/>
          <w:szCs w:val="24"/>
          <w:lang w:val="en-GB"/>
        </w:rPr>
        <w:t>TP</w:t>
      </w:r>
      <w:r w:rsidRPr="00FD1F6E">
        <w:rPr>
          <w:rFonts w:ascii="Times New Roman" w:hAnsi="Times New Roman" w:cs="Times New Roman"/>
          <w:sz w:val="24"/>
          <w:szCs w:val="24"/>
          <w:lang w:val="en-GB"/>
        </w:rPr>
        <w:t>.</w:t>
      </w:r>
      <w:r w:rsidRPr="00FD1F6E">
        <w:rPr>
          <w:rStyle w:val="Rimandonotaapidipagina"/>
          <w:rFonts w:ascii="Times New Roman" w:hAnsi="Times New Roman" w:cs="Times New Roman"/>
          <w:sz w:val="24"/>
          <w:szCs w:val="24"/>
          <w:lang w:val="en-GB"/>
        </w:rPr>
        <w:footnoteReference w:id="41"/>
      </w:r>
      <w:r w:rsidRPr="00FD1F6E">
        <w:rPr>
          <w:rFonts w:ascii="Times New Roman" w:hAnsi="Times New Roman" w:cs="Times New Roman"/>
          <w:sz w:val="24"/>
          <w:szCs w:val="24"/>
          <w:lang w:val="en-GB"/>
        </w:rPr>
        <w:t xml:space="preserve"> This paper does not explore the </w:t>
      </w:r>
      <w:r w:rsidR="00D5122C" w:rsidRPr="00FD1F6E">
        <w:rPr>
          <w:rFonts w:ascii="Times New Roman" w:hAnsi="Times New Roman" w:cs="Times New Roman"/>
          <w:sz w:val="24"/>
          <w:szCs w:val="24"/>
          <w:lang w:val="en-GB"/>
        </w:rPr>
        <w:t>correctness</w:t>
      </w:r>
      <w:r w:rsidR="0055798A" w:rsidRPr="00FD1F6E">
        <w:rPr>
          <w:rFonts w:ascii="Times New Roman" w:hAnsi="Times New Roman" w:cs="Times New Roman"/>
          <w:sz w:val="24"/>
          <w:szCs w:val="24"/>
          <w:lang w:val="en-GB"/>
        </w:rPr>
        <w:t xml:space="preserve"> of the </w:t>
      </w:r>
      <w:r w:rsidR="00D5122C" w:rsidRPr="00FD1F6E">
        <w:rPr>
          <w:rFonts w:ascii="Times New Roman" w:hAnsi="Times New Roman" w:cs="Times New Roman"/>
          <w:sz w:val="24"/>
          <w:szCs w:val="24"/>
          <w:lang w:val="en-GB"/>
        </w:rPr>
        <w:t xml:space="preserve">standard of review applied by </w:t>
      </w:r>
      <w:r w:rsidR="0055798A" w:rsidRPr="00FD1F6E">
        <w:rPr>
          <w:rFonts w:ascii="Times New Roman" w:hAnsi="Times New Roman" w:cs="Times New Roman"/>
          <w:sz w:val="24"/>
          <w:szCs w:val="24"/>
          <w:lang w:val="en-GB"/>
        </w:rPr>
        <w:t xml:space="preserve">PTC I; moreover, the issue of procedural fairness is </w:t>
      </w:r>
      <w:r w:rsidR="00D01E04" w:rsidRPr="00FD1F6E">
        <w:rPr>
          <w:rFonts w:ascii="Times New Roman" w:hAnsi="Times New Roman" w:cs="Times New Roman"/>
          <w:sz w:val="24"/>
          <w:szCs w:val="24"/>
          <w:lang w:val="en-GB"/>
        </w:rPr>
        <w:t>dormant</w:t>
      </w:r>
      <w:r w:rsidRPr="00FD1F6E">
        <w:rPr>
          <w:rFonts w:ascii="Times New Roman" w:hAnsi="Times New Roman" w:cs="Times New Roman"/>
          <w:sz w:val="24"/>
          <w:szCs w:val="24"/>
          <w:lang w:val="en-GB"/>
        </w:rPr>
        <w:t xml:space="preserve"> because the </w:t>
      </w:r>
      <w:r w:rsidR="00D01E04" w:rsidRPr="00FD1F6E">
        <w:rPr>
          <w:rFonts w:ascii="Times New Roman" w:hAnsi="Times New Roman" w:cs="Times New Roman"/>
          <w:sz w:val="24"/>
          <w:szCs w:val="24"/>
          <w:lang w:val="en-GB"/>
        </w:rPr>
        <w:t>a</w:t>
      </w:r>
      <w:r w:rsidRPr="00FD1F6E">
        <w:rPr>
          <w:rFonts w:ascii="Times New Roman" w:hAnsi="Times New Roman" w:cs="Times New Roman"/>
          <w:sz w:val="24"/>
          <w:szCs w:val="24"/>
          <w:lang w:val="en-GB"/>
        </w:rPr>
        <w:t xml:space="preserve">ppeal has been dismissed as inadmissible, and </w:t>
      </w:r>
      <w:r w:rsidR="00D01E04" w:rsidRPr="00FD1F6E">
        <w:rPr>
          <w:rFonts w:ascii="Times New Roman" w:hAnsi="Times New Roman" w:cs="Times New Roman"/>
          <w:sz w:val="24"/>
          <w:szCs w:val="24"/>
          <w:lang w:val="en-GB"/>
        </w:rPr>
        <w:t>the OTP has no further judicial recourse</w:t>
      </w:r>
      <w:r w:rsidRPr="00FD1F6E">
        <w:rPr>
          <w:rFonts w:ascii="Times New Roman" w:hAnsi="Times New Roman" w:cs="Times New Roman"/>
          <w:sz w:val="24"/>
          <w:szCs w:val="24"/>
          <w:lang w:val="en-GB"/>
        </w:rPr>
        <w:t xml:space="preserve">. </w:t>
      </w:r>
      <w:r w:rsidR="00D01E04" w:rsidRPr="00FD1F6E">
        <w:rPr>
          <w:rFonts w:ascii="Times New Roman" w:hAnsi="Times New Roman" w:cs="Times New Roman"/>
          <w:sz w:val="24"/>
          <w:szCs w:val="24"/>
          <w:lang w:val="en-GB"/>
        </w:rPr>
        <w:t>Yet</w:t>
      </w:r>
      <w:r w:rsidRPr="00FD1F6E">
        <w:rPr>
          <w:rFonts w:ascii="Times New Roman" w:hAnsi="Times New Roman" w:cs="Times New Roman"/>
          <w:sz w:val="24"/>
          <w:szCs w:val="24"/>
          <w:lang w:val="en-GB"/>
        </w:rPr>
        <w:t xml:space="preserve">, this author shares some of the doubts </w:t>
      </w:r>
      <w:r w:rsidR="00D01E04" w:rsidRPr="00FD1F6E">
        <w:rPr>
          <w:rFonts w:ascii="Times New Roman" w:hAnsi="Times New Roman" w:cs="Times New Roman"/>
          <w:sz w:val="24"/>
          <w:szCs w:val="24"/>
          <w:lang w:val="en-GB"/>
        </w:rPr>
        <w:t>concerning</w:t>
      </w:r>
      <w:r w:rsidRPr="00FD1F6E">
        <w:rPr>
          <w:rFonts w:ascii="Times New Roman" w:hAnsi="Times New Roman" w:cs="Times New Roman"/>
          <w:sz w:val="24"/>
          <w:szCs w:val="24"/>
          <w:lang w:val="en-GB"/>
        </w:rPr>
        <w:t xml:space="preserve"> PTC I</w:t>
      </w:r>
      <w:r w:rsidR="00D01E04" w:rsidRPr="00FD1F6E">
        <w:rPr>
          <w:rFonts w:ascii="Times New Roman" w:hAnsi="Times New Roman" w:cs="Times New Roman"/>
          <w:sz w:val="24"/>
          <w:szCs w:val="24"/>
          <w:lang w:val="en-GB"/>
        </w:rPr>
        <w:t>’s approach</w:t>
      </w:r>
      <w:r w:rsidRPr="00FD1F6E">
        <w:rPr>
          <w:rFonts w:ascii="Times New Roman" w:hAnsi="Times New Roman" w:cs="Times New Roman"/>
          <w:sz w:val="24"/>
          <w:szCs w:val="24"/>
          <w:lang w:val="en-GB"/>
        </w:rPr>
        <w:t>,</w:t>
      </w:r>
      <w:r w:rsidRPr="00FD1F6E">
        <w:rPr>
          <w:rStyle w:val="Rimandonotaapidipagina"/>
          <w:rFonts w:ascii="Times New Roman" w:hAnsi="Times New Roman" w:cs="Times New Roman"/>
          <w:sz w:val="24"/>
          <w:szCs w:val="24"/>
          <w:lang w:val="en-GB"/>
        </w:rPr>
        <w:footnoteReference w:id="42"/>
      </w:r>
      <w:r w:rsidRPr="00FD1F6E">
        <w:rPr>
          <w:rFonts w:ascii="Times New Roman" w:hAnsi="Times New Roman" w:cs="Times New Roman"/>
          <w:sz w:val="24"/>
          <w:szCs w:val="24"/>
          <w:lang w:val="en-GB"/>
        </w:rPr>
        <w:t xml:space="preserve"> </w:t>
      </w:r>
      <w:r w:rsidR="00D01E04" w:rsidRPr="00FD1F6E">
        <w:rPr>
          <w:rFonts w:ascii="Times New Roman" w:hAnsi="Times New Roman" w:cs="Times New Roman"/>
          <w:sz w:val="24"/>
          <w:szCs w:val="24"/>
          <w:lang w:val="en-GB"/>
        </w:rPr>
        <w:t>al</w:t>
      </w:r>
      <w:r w:rsidR="0055798A" w:rsidRPr="00FD1F6E">
        <w:rPr>
          <w:rFonts w:ascii="Times New Roman" w:hAnsi="Times New Roman" w:cs="Times New Roman"/>
          <w:sz w:val="24"/>
          <w:szCs w:val="24"/>
          <w:lang w:val="en-GB"/>
        </w:rPr>
        <w:t>though it may be an exaggeration to claim that there has been a violation of</w:t>
      </w:r>
      <w:r w:rsidR="00D01E04" w:rsidRPr="00FD1F6E">
        <w:rPr>
          <w:rFonts w:ascii="Times New Roman" w:hAnsi="Times New Roman" w:cs="Times New Roman"/>
          <w:sz w:val="24"/>
          <w:szCs w:val="24"/>
          <w:lang w:val="en-GB"/>
        </w:rPr>
        <w:t xml:space="preserve"> </w:t>
      </w:r>
      <w:r w:rsidR="0055798A" w:rsidRPr="00FD1F6E">
        <w:rPr>
          <w:rFonts w:ascii="Times New Roman" w:hAnsi="Times New Roman" w:cs="Times New Roman"/>
          <w:sz w:val="24"/>
          <w:szCs w:val="24"/>
          <w:lang w:val="en-GB"/>
        </w:rPr>
        <w:t>prosecutorial independence</w:t>
      </w:r>
      <w:r w:rsidR="00D01E04" w:rsidRPr="00FD1F6E">
        <w:rPr>
          <w:rFonts w:ascii="Times New Roman" w:hAnsi="Times New Roman" w:cs="Times New Roman"/>
          <w:sz w:val="24"/>
          <w:szCs w:val="24"/>
          <w:lang w:val="en-GB"/>
        </w:rPr>
        <w:t>.</w:t>
      </w:r>
      <w:r w:rsidRPr="00FD1F6E">
        <w:rPr>
          <w:rStyle w:val="Rimandonotaapidipagina"/>
          <w:rFonts w:ascii="Times New Roman" w:hAnsi="Times New Roman" w:cs="Times New Roman"/>
          <w:sz w:val="24"/>
          <w:szCs w:val="24"/>
          <w:lang w:val="en-GB"/>
        </w:rPr>
        <w:footnoteReference w:id="43"/>
      </w:r>
      <w:r w:rsidRPr="00FD1F6E">
        <w:rPr>
          <w:rFonts w:ascii="Times New Roman" w:hAnsi="Times New Roman" w:cs="Times New Roman"/>
          <w:sz w:val="24"/>
          <w:szCs w:val="24"/>
          <w:lang w:val="en-GB"/>
        </w:rPr>
        <w:t xml:space="preserve"> </w:t>
      </w:r>
      <w:r w:rsidR="00D01E04" w:rsidRPr="00FD1F6E">
        <w:rPr>
          <w:rFonts w:ascii="Times New Roman" w:hAnsi="Times New Roman" w:cs="Times New Roman"/>
          <w:sz w:val="24"/>
          <w:szCs w:val="24"/>
          <w:lang w:val="en-GB"/>
        </w:rPr>
        <w:t>Indeed, t</w:t>
      </w:r>
      <w:r w:rsidR="0055798A" w:rsidRPr="00FD1F6E">
        <w:rPr>
          <w:rFonts w:ascii="Times New Roman" w:hAnsi="Times New Roman" w:cs="Times New Roman"/>
          <w:sz w:val="24"/>
          <w:szCs w:val="24"/>
          <w:lang w:val="en-GB"/>
        </w:rPr>
        <w:t>he</w:t>
      </w:r>
      <w:r w:rsidRPr="00FD1F6E">
        <w:rPr>
          <w:rFonts w:ascii="Times New Roman" w:hAnsi="Times New Roman" w:cs="Times New Roman"/>
          <w:sz w:val="24"/>
          <w:szCs w:val="24"/>
          <w:lang w:val="en-GB"/>
        </w:rPr>
        <w:t xml:space="preserve"> </w:t>
      </w:r>
      <w:r w:rsidR="00D01E04" w:rsidRPr="00FD1F6E">
        <w:rPr>
          <w:rFonts w:ascii="Times New Roman" w:hAnsi="Times New Roman" w:cs="Times New Roman"/>
          <w:sz w:val="24"/>
          <w:szCs w:val="24"/>
          <w:lang w:val="en-GB"/>
        </w:rPr>
        <w:t>Appeal Chamber</w:t>
      </w:r>
      <w:r w:rsidRPr="00FD1F6E">
        <w:rPr>
          <w:rFonts w:ascii="Times New Roman" w:hAnsi="Times New Roman" w:cs="Times New Roman"/>
          <w:sz w:val="24"/>
          <w:szCs w:val="24"/>
          <w:lang w:val="en-GB"/>
        </w:rPr>
        <w:t xml:space="preserve"> </w:t>
      </w:r>
      <w:r w:rsidR="00D01E04" w:rsidRPr="00FD1F6E">
        <w:rPr>
          <w:rFonts w:ascii="Times New Roman" w:hAnsi="Times New Roman" w:cs="Times New Roman"/>
          <w:sz w:val="24"/>
          <w:szCs w:val="24"/>
          <w:lang w:val="en-GB"/>
        </w:rPr>
        <w:lastRenderedPageBreak/>
        <w:t xml:space="preserve">emphasised that although </w:t>
      </w:r>
      <w:r w:rsidRPr="00FD1F6E">
        <w:rPr>
          <w:rFonts w:ascii="Times New Roman" w:hAnsi="Times New Roman" w:cs="Times New Roman"/>
          <w:sz w:val="24"/>
          <w:szCs w:val="24"/>
          <w:lang w:val="en-GB"/>
        </w:rPr>
        <w:t>the O</w:t>
      </w:r>
      <w:r w:rsidR="00941354" w:rsidRPr="00FD1F6E">
        <w:rPr>
          <w:rFonts w:ascii="Times New Roman" w:hAnsi="Times New Roman" w:cs="Times New Roman"/>
          <w:sz w:val="24"/>
          <w:szCs w:val="24"/>
          <w:lang w:val="en-GB"/>
        </w:rPr>
        <w:t>TP</w:t>
      </w:r>
      <w:r w:rsidRPr="00FD1F6E">
        <w:rPr>
          <w:rFonts w:ascii="Times New Roman" w:hAnsi="Times New Roman" w:cs="Times New Roman"/>
          <w:sz w:val="24"/>
          <w:szCs w:val="24"/>
          <w:lang w:val="en-GB"/>
        </w:rPr>
        <w:t xml:space="preserve"> must reconsider its decision</w:t>
      </w:r>
      <w:r w:rsidR="0055798A" w:rsidRPr="00FD1F6E">
        <w:rPr>
          <w:rFonts w:ascii="Times New Roman" w:hAnsi="Times New Roman" w:cs="Times New Roman"/>
          <w:sz w:val="24"/>
          <w:szCs w:val="24"/>
          <w:lang w:val="en-GB"/>
        </w:rPr>
        <w:t>,</w:t>
      </w:r>
      <w:r w:rsidRPr="00FD1F6E">
        <w:rPr>
          <w:rFonts w:ascii="Times New Roman" w:hAnsi="Times New Roman" w:cs="Times New Roman"/>
          <w:sz w:val="24"/>
          <w:szCs w:val="24"/>
          <w:lang w:val="en-GB"/>
        </w:rPr>
        <w:t xml:space="preserve"> </w:t>
      </w:r>
      <w:r w:rsidR="00D01E04" w:rsidRPr="00FD1F6E">
        <w:rPr>
          <w:rFonts w:ascii="Times New Roman" w:hAnsi="Times New Roman" w:cs="Times New Roman"/>
          <w:sz w:val="24"/>
          <w:szCs w:val="24"/>
          <w:lang w:val="en-GB"/>
        </w:rPr>
        <w:t xml:space="preserve">it </w:t>
      </w:r>
      <w:r w:rsidRPr="00FD1F6E">
        <w:rPr>
          <w:rFonts w:ascii="Times New Roman" w:hAnsi="Times New Roman" w:cs="Times New Roman"/>
          <w:sz w:val="24"/>
          <w:szCs w:val="24"/>
          <w:lang w:val="en-GB"/>
        </w:rPr>
        <w:t>retains the last word on whether to open an investigation or not.</w:t>
      </w:r>
      <w:r w:rsidRPr="00FD1F6E">
        <w:rPr>
          <w:rStyle w:val="Rimandonotaapidipagina"/>
          <w:rFonts w:ascii="Times New Roman" w:hAnsi="Times New Roman" w:cs="Times New Roman"/>
          <w:sz w:val="24"/>
          <w:szCs w:val="24"/>
          <w:lang w:val="en-GB"/>
        </w:rPr>
        <w:footnoteReference w:id="44"/>
      </w:r>
      <w:r w:rsidRPr="00FD1F6E">
        <w:rPr>
          <w:rFonts w:ascii="Times New Roman" w:hAnsi="Times New Roman" w:cs="Times New Roman"/>
          <w:sz w:val="24"/>
          <w:szCs w:val="24"/>
          <w:lang w:val="en-GB"/>
        </w:rPr>
        <w:t xml:space="preserve"> </w:t>
      </w:r>
    </w:p>
    <w:p w:rsidR="00705431" w:rsidRPr="00FD1F6E" w:rsidRDefault="00705431" w:rsidP="00CA0198">
      <w:pPr>
        <w:spacing w:after="0" w:line="360" w:lineRule="auto"/>
        <w:jc w:val="both"/>
        <w:rPr>
          <w:rFonts w:ascii="Times New Roman" w:hAnsi="Times New Roman" w:cs="Times New Roman"/>
          <w:sz w:val="24"/>
          <w:szCs w:val="24"/>
          <w:lang w:val="en-GB"/>
        </w:rPr>
      </w:pPr>
    </w:p>
    <w:p w:rsidR="008B186B" w:rsidRPr="00FD1F6E" w:rsidRDefault="00D01E04"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In this light, h</w:t>
      </w:r>
      <w:r w:rsidR="00AE43B8" w:rsidRPr="00FD1F6E">
        <w:rPr>
          <w:rFonts w:ascii="Times New Roman" w:hAnsi="Times New Roman" w:cs="Times New Roman"/>
          <w:sz w:val="24"/>
          <w:szCs w:val="24"/>
          <w:lang w:val="en-GB"/>
        </w:rPr>
        <w:t xml:space="preserve">owever, </w:t>
      </w:r>
      <w:r w:rsidRPr="00FD1F6E">
        <w:rPr>
          <w:rFonts w:ascii="Times New Roman" w:hAnsi="Times New Roman" w:cs="Times New Roman"/>
          <w:sz w:val="24"/>
          <w:szCs w:val="24"/>
          <w:lang w:val="en-GB"/>
        </w:rPr>
        <w:t>two aspects of the competing approaches to the gravity threshold taken in the OTP’s Decision Not to Investigate and PTC I’s decision may benefit from further consideration</w:t>
      </w:r>
      <w:r w:rsidR="009B1E79" w:rsidRPr="00FD1F6E">
        <w:rPr>
          <w:rFonts w:ascii="Times New Roman" w:hAnsi="Times New Roman" w:cs="Times New Roman"/>
          <w:sz w:val="24"/>
          <w:szCs w:val="24"/>
          <w:lang w:val="en-GB"/>
        </w:rPr>
        <w:t>.</w:t>
      </w:r>
    </w:p>
    <w:p w:rsidR="00705431" w:rsidRDefault="00705431" w:rsidP="0073634A">
      <w:pPr>
        <w:spacing w:after="0" w:line="360" w:lineRule="auto"/>
        <w:jc w:val="both"/>
        <w:rPr>
          <w:rFonts w:ascii="Times New Roman" w:hAnsi="Times New Roman" w:cs="Times New Roman"/>
          <w:sz w:val="24"/>
          <w:szCs w:val="24"/>
          <w:lang w:val="en-GB"/>
        </w:rPr>
      </w:pPr>
    </w:p>
    <w:p w:rsidR="0073634A" w:rsidRPr="00FD1F6E" w:rsidRDefault="00D01E04" w:rsidP="0073634A">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In particular, although both the OTP and PTC I agreed that gravity encompasses both qualitative and quantitative elements,</w:t>
      </w:r>
      <w:r w:rsidRPr="00FD1F6E">
        <w:rPr>
          <w:rStyle w:val="Rimandonotaapidipagina"/>
          <w:rFonts w:ascii="Times New Roman" w:hAnsi="Times New Roman" w:cs="Times New Roman"/>
          <w:sz w:val="24"/>
          <w:szCs w:val="24"/>
          <w:lang w:val="en-GB"/>
        </w:rPr>
        <w:footnoteReference w:id="45"/>
      </w:r>
      <w:r w:rsidRPr="00FD1F6E">
        <w:rPr>
          <w:rFonts w:ascii="Times New Roman" w:hAnsi="Times New Roman" w:cs="Times New Roman"/>
          <w:sz w:val="24"/>
          <w:szCs w:val="24"/>
          <w:lang w:val="en-GB"/>
        </w:rPr>
        <w:t xml:space="preserve"> they disagreed on their proper application.</w:t>
      </w:r>
      <w:r w:rsidR="00BD76A7" w:rsidRPr="00FD1F6E">
        <w:rPr>
          <w:rStyle w:val="Rimandonotaapidipagina"/>
          <w:rFonts w:ascii="Times New Roman" w:hAnsi="Times New Roman" w:cs="Times New Roman"/>
          <w:sz w:val="24"/>
          <w:szCs w:val="24"/>
          <w:lang w:val="en-GB"/>
        </w:rPr>
        <w:footnoteReference w:id="46"/>
      </w:r>
      <w:r w:rsidR="00A75DE8" w:rsidRPr="00FD1F6E">
        <w:rPr>
          <w:rFonts w:ascii="Times New Roman" w:hAnsi="Times New Roman" w:cs="Times New Roman"/>
          <w:sz w:val="24"/>
          <w:szCs w:val="24"/>
          <w:lang w:val="en-GB"/>
        </w:rPr>
        <w:t xml:space="preserve"> </w:t>
      </w:r>
      <w:r w:rsidR="00BC23F2" w:rsidRPr="00FD1F6E">
        <w:rPr>
          <w:rFonts w:ascii="Times New Roman" w:hAnsi="Times New Roman" w:cs="Times New Roman"/>
          <w:sz w:val="24"/>
          <w:szCs w:val="24"/>
          <w:lang w:val="en-GB"/>
        </w:rPr>
        <w:t xml:space="preserve">However, the Decision Not to Investigate appears </w:t>
      </w:r>
      <w:r w:rsidR="00077B18" w:rsidRPr="00FD1F6E">
        <w:rPr>
          <w:rFonts w:ascii="Times New Roman" w:hAnsi="Times New Roman" w:cs="Times New Roman"/>
          <w:sz w:val="24"/>
          <w:szCs w:val="24"/>
          <w:lang w:val="en-GB"/>
        </w:rPr>
        <w:t xml:space="preserve">not </w:t>
      </w:r>
      <w:r w:rsidR="00BC23F2" w:rsidRPr="00FD1F6E">
        <w:rPr>
          <w:rFonts w:ascii="Times New Roman" w:hAnsi="Times New Roman" w:cs="Times New Roman"/>
          <w:sz w:val="24"/>
          <w:szCs w:val="24"/>
          <w:lang w:val="en-GB"/>
        </w:rPr>
        <w:t xml:space="preserve">to have evaluated some </w:t>
      </w:r>
      <w:r w:rsidR="00816E91" w:rsidRPr="00FD1F6E">
        <w:rPr>
          <w:rFonts w:ascii="Times New Roman" w:hAnsi="Times New Roman" w:cs="Times New Roman"/>
          <w:sz w:val="24"/>
          <w:szCs w:val="24"/>
          <w:lang w:val="en-GB"/>
        </w:rPr>
        <w:t>elements</w:t>
      </w:r>
      <w:r w:rsidR="00077B18" w:rsidRPr="00FD1F6E">
        <w:rPr>
          <w:rFonts w:ascii="Times New Roman" w:hAnsi="Times New Roman" w:cs="Times New Roman"/>
          <w:sz w:val="24"/>
          <w:szCs w:val="24"/>
          <w:lang w:val="en-GB"/>
        </w:rPr>
        <w:t xml:space="preserve"> properly</w:t>
      </w:r>
      <w:r w:rsidR="00816E91" w:rsidRPr="00FD1F6E">
        <w:rPr>
          <w:rFonts w:ascii="Times New Roman" w:hAnsi="Times New Roman" w:cs="Times New Roman"/>
          <w:sz w:val="24"/>
          <w:szCs w:val="24"/>
          <w:lang w:val="en-GB"/>
        </w:rPr>
        <w:t>, particularly regarding the scale and nature of the alleged crimes</w:t>
      </w:r>
      <w:r w:rsidR="0073634A" w:rsidRPr="00FD1F6E">
        <w:rPr>
          <w:rFonts w:ascii="Times New Roman" w:hAnsi="Times New Roman" w:cs="Times New Roman"/>
          <w:sz w:val="24"/>
          <w:szCs w:val="24"/>
          <w:lang w:val="en-GB"/>
        </w:rPr>
        <w:t>.</w:t>
      </w:r>
    </w:p>
    <w:p w:rsidR="00705431" w:rsidRDefault="00705431" w:rsidP="0073634A">
      <w:pPr>
        <w:spacing w:after="0" w:line="360" w:lineRule="auto"/>
        <w:jc w:val="both"/>
        <w:rPr>
          <w:rFonts w:ascii="Times New Roman" w:hAnsi="Times New Roman" w:cs="Times New Roman"/>
          <w:sz w:val="24"/>
          <w:szCs w:val="24"/>
          <w:lang w:val="en-GB"/>
        </w:rPr>
      </w:pPr>
    </w:p>
    <w:p w:rsidR="00836E9E" w:rsidRDefault="0073634A" w:rsidP="0073634A">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First, according to the </w:t>
      </w:r>
      <w:r w:rsidR="00C424B0" w:rsidRPr="00FD1F6E">
        <w:rPr>
          <w:rFonts w:ascii="Times New Roman" w:hAnsi="Times New Roman" w:cs="Times New Roman"/>
          <w:sz w:val="24"/>
          <w:szCs w:val="24"/>
          <w:lang w:val="en-GB"/>
        </w:rPr>
        <w:t>Decision Not to Investigate</w:t>
      </w:r>
      <w:r w:rsidR="00705431">
        <w:rPr>
          <w:rFonts w:ascii="Times New Roman" w:hAnsi="Times New Roman" w:cs="Times New Roman"/>
          <w:sz w:val="24"/>
          <w:szCs w:val="24"/>
          <w:lang w:val="en-GB"/>
        </w:rPr>
        <w:t xml:space="preserve"> (which concluded, </w:t>
      </w:r>
      <w:r w:rsidR="00705431">
        <w:rPr>
          <w:rFonts w:ascii="Times New Roman" w:hAnsi="Times New Roman" w:cs="Times New Roman"/>
          <w:i/>
          <w:sz w:val="24"/>
          <w:szCs w:val="24"/>
          <w:lang w:val="en-GB"/>
        </w:rPr>
        <w:t>inter alia</w:t>
      </w:r>
      <w:r w:rsidR="00705431">
        <w:rPr>
          <w:rFonts w:ascii="Times New Roman" w:hAnsi="Times New Roman" w:cs="Times New Roman"/>
          <w:sz w:val="24"/>
          <w:szCs w:val="24"/>
          <w:lang w:val="en-GB"/>
        </w:rPr>
        <w:t>, that the scale alone of the alleged crimes did not demonstrate sufficient gravity)</w:t>
      </w:r>
      <w:r w:rsidR="00646BBE" w:rsidRPr="00FD1F6E">
        <w:rPr>
          <w:rFonts w:ascii="Times New Roman" w:hAnsi="Times New Roman" w:cs="Times New Roman"/>
          <w:sz w:val="24"/>
          <w:szCs w:val="24"/>
          <w:lang w:val="en-GB"/>
        </w:rPr>
        <w:t>,</w:t>
      </w:r>
      <w:r w:rsidRPr="00FD1F6E">
        <w:rPr>
          <w:rFonts w:ascii="Times New Roman" w:hAnsi="Times New Roman" w:cs="Times New Roman"/>
          <w:sz w:val="24"/>
          <w:szCs w:val="24"/>
          <w:lang w:val="en-GB"/>
        </w:rPr>
        <w:t xml:space="preserve"> </w:t>
      </w:r>
      <w:r w:rsidR="00C424B0" w:rsidRPr="00FD1F6E">
        <w:rPr>
          <w:rFonts w:ascii="Times New Roman" w:hAnsi="Times New Roman" w:cs="Times New Roman"/>
          <w:sz w:val="24"/>
          <w:szCs w:val="24"/>
          <w:lang w:val="en-GB"/>
        </w:rPr>
        <w:t>ten</w:t>
      </w:r>
      <w:r w:rsidRPr="00FD1F6E">
        <w:rPr>
          <w:rFonts w:ascii="Times New Roman" w:hAnsi="Times New Roman" w:cs="Times New Roman"/>
          <w:sz w:val="24"/>
          <w:szCs w:val="24"/>
          <w:lang w:val="en-GB"/>
        </w:rPr>
        <w:t xml:space="preserve"> passengers</w:t>
      </w:r>
      <w:r w:rsidR="0055798A" w:rsidRPr="00FD1F6E">
        <w:rPr>
          <w:rFonts w:ascii="Times New Roman" w:hAnsi="Times New Roman" w:cs="Times New Roman"/>
          <w:sz w:val="24"/>
          <w:szCs w:val="24"/>
          <w:lang w:val="en-GB"/>
        </w:rPr>
        <w:t xml:space="preserve"> were</w:t>
      </w:r>
      <w:r w:rsidRPr="00FD1F6E">
        <w:rPr>
          <w:rFonts w:ascii="Times New Roman" w:hAnsi="Times New Roman" w:cs="Times New Roman"/>
          <w:sz w:val="24"/>
          <w:szCs w:val="24"/>
          <w:lang w:val="en-GB"/>
        </w:rPr>
        <w:t xml:space="preserve"> killed</w:t>
      </w:r>
      <w:r w:rsidR="0055798A" w:rsidRPr="00FD1F6E">
        <w:rPr>
          <w:rFonts w:ascii="Times New Roman" w:hAnsi="Times New Roman" w:cs="Times New Roman"/>
          <w:sz w:val="24"/>
          <w:szCs w:val="24"/>
          <w:lang w:val="en-GB"/>
        </w:rPr>
        <w:t>, a</w:t>
      </w:r>
      <w:r w:rsidRPr="00FD1F6E">
        <w:rPr>
          <w:rFonts w:ascii="Times New Roman" w:hAnsi="Times New Roman" w:cs="Times New Roman"/>
          <w:sz w:val="24"/>
          <w:szCs w:val="24"/>
          <w:lang w:val="en-GB"/>
        </w:rPr>
        <w:t xml:space="preserve">round </w:t>
      </w:r>
      <w:r w:rsidR="0055798A" w:rsidRPr="00FD1F6E">
        <w:rPr>
          <w:rFonts w:ascii="Times New Roman" w:hAnsi="Times New Roman" w:cs="Times New Roman"/>
          <w:sz w:val="24"/>
          <w:szCs w:val="24"/>
          <w:lang w:val="en-GB"/>
        </w:rPr>
        <w:t>fifty</w:t>
      </w:r>
      <w:r w:rsidRPr="00FD1F6E">
        <w:rPr>
          <w:rFonts w:ascii="Times New Roman" w:hAnsi="Times New Roman" w:cs="Times New Roman"/>
          <w:sz w:val="24"/>
          <w:szCs w:val="24"/>
          <w:lang w:val="en-GB"/>
        </w:rPr>
        <w:t xml:space="preserve"> </w:t>
      </w:r>
      <w:r w:rsidR="0055798A" w:rsidRPr="00FD1F6E">
        <w:rPr>
          <w:rFonts w:ascii="Times New Roman" w:hAnsi="Times New Roman" w:cs="Times New Roman"/>
          <w:sz w:val="24"/>
          <w:szCs w:val="24"/>
          <w:lang w:val="en-GB"/>
        </w:rPr>
        <w:t>injured, and</w:t>
      </w:r>
      <w:r w:rsidRPr="00FD1F6E">
        <w:rPr>
          <w:rFonts w:ascii="Times New Roman" w:hAnsi="Times New Roman" w:cs="Times New Roman"/>
          <w:sz w:val="24"/>
          <w:szCs w:val="24"/>
          <w:lang w:val="en-GB"/>
        </w:rPr>
        <w:t xml:space="preserve"> the number of victims of outrages upon personal dignity </w:t>
      </w:r>
      <w:r w:rsidR="0055798A" w:rsidRPr="00FD1F6E">
        <w:rPr>
          <w:rFonts w:ascii="Times New Roman" w:hAnsi="Times New Roman" w:cs="Times New Roman"/>
          <w:sz w:val="24"/>
          <w:szCs w:val="24"/>
          <w:lang w:val="en-GB"/>
        </w:rPr>
        <w:t>was</w:t>
      </w:r>
      <w:r w:rsidRPr="00FD1F6E">
        <w:rPr>
          <w:rFonts w:ascii="Times New Roman" w:hAnsi="Times New Roman" w:cs="Times New Roman"/>
          <w:sz w:val="24"/>
          <w:szCs w:val="24"/>
          <w:lang w:val="en-GB"/>
        </w:rPr>
        <w:t xml:space="preserve"> unclear.</w:t>
      </w:r>
      <w:r w:rsidRPr="00FD1F6E">
        <w:rPr>
          <w:rStyle w:val="Rimandonotaapidipagina"/>
          <w:rFonts w:ascii="Times New Roman" w:hAnsi="Times New Roman" w:cs="Times New Roman"/>
          <w:sz w:val="24"/>
          <w:szCs w:val="24"/>
          <w:lang w:val="en-GB"/>
        </w:rPr>
        <w:footnoteReference w:id="47"/>
      </w:r>
      <w:r w:rsidRPr="00FD1F6E">
        <w:rPr>
          <w:rFonts w:ascii="Times New Roman" w:hAnsi="Times New Roman" w:cs="Times New Roman"/>
          <w:sz w:val="24"/>
          <w:szCs w:val="24"/>
          <w:lang w:val="en-GB"/>
        </w:rPr>
        <w:t xml:space="preserve"> </w:t>
      </w:r>
      <w:r w:rsidR="00393F9B">
        <w:rPr>
          <w:rFonts w:ascii="Times New Roman" w:hAnsi="Times New Roman" w:cs="Times New Roman"/>
          <w:sz w:val="24"/>
          <w:szCs w:val="24"/>
          <w:lang w:val="en-GB"/>
        </w:rPr>
        <w:t>In two footnotes</w:t>
      </w:r>
      <w:r w:rsidR="00705431">
        <w:rPr>
          <w:rFonts w:ascii="Times New Roman" w:hAnsi="Times New Roman" w:cs="Times New Roman"/>
          <w:sz w:val="24"/>
          <w:szCs w:val="24"/>
          <w:lang w:val="en-GB"/>
        </w:rPr>
        <w:t xml:space="preserve">, however, </w:t>
      </w:r>
      <w:r w:rsidR="00C424B0" w:rsidRPr="00FD1F6E">
        <w:rPr>
          <w:rFonts w:ascii="Times New Roman" w:hAnsi="Times New Roman" w:cs="Times New Roman"/>
          <w:sz w:val="24"/>
          <w:szCs w:val="24"/>
          <w:lang w:val="en-GB"/>
        </w:rPr>
        <w:t xml:space="preserve">the OTP </w:t>
      </w:r>
      <w:r w:rsidR="00705431">
        <w:rPr>
          <w:rFonts w:ascii="Times New Roman" w:hAnsi="Times New Roman" w:cs="Times New Roman"/>
          <w:sz w:val="24"/>
          <w:szCs w:val="24"/>
          <w:lang w:val="en-GB"/>
        </w:rPr>
        <w:t>also</w:t>
      </w:r>
      <w:r w:rsidR="00C424B0" w:rsidRPr="00FD1F6E">
        <w:rPr>
          <w:rFonts w:ascii="Times New Roman" w:hAnsi="Times New Roman" w:cs="Times New Roman"/>
          <w:sz w:val="24"/>
          <w:szCs w:val="24"/>
          <w:lang w:val="en-GB"/>
        </w:rPr>
        <w:t xml:space="preserve"> acknowledged that there </w:t>
      </w:r>
      <w:r w:rsidR="00C424B0" w:rsidRPr="00FD1F6E">
        <w:rPr>
          <w:rFonts w:ascii="Times New Roman" w:hAnsi="Times New Roman" w:cs="Times New Roman"/>
          <w:sz w:val="24"/>
          <w:szCs w:val="24"/>
          <w:lang w:val="en-GB"/>
        </w:rPr>
        <w:lastRenderedPageBreak/>
        <w:t>were 546-591 passengers aboard the vessel,</w:t>
      </w:r>
      <w:r w:rsidR="00C424B0" w:rsidRPr="00FD1F6E">
        <w:rPr>
          <w:rStyle w:val="Rimandonotaapidipagina"/>
          <w:rFonts w:ascii="Times New Roman" w:hAnsi="Times New Roman" w:cs="Times New Roman"/>
          <w:sz w:val="24"/>
          <w:szCs w:val="24"/>
          <w:lang w:val="en-GB"/>
        </w:rPr>
        <w:footnoteReference w:id="48"/>
      </w:r>
      <w:r w:rsidR="00C424B0" w:rsidRPr="00FD1F6E">
        <w:rPr>
          <w:rFonts w:ascii="Times New Roman" w:hAnsi="Times New Roman" w:cs="Times New Roman"/>
          <w:sz w:val="24"/>
          <w:szCs w:val="24"/>
          <w:lang w:val="en-GB"/>
        </w:rPr>
        <w:t xml:space="preserve"> and that according to the Palmer-Uribe Panel many passe</w:t>
      </w:r>
      <w:r w:rsidR="00705431">
        <w:rPr>
          <w:rFonts w:ascii="Times New Roman" w:hAnsi="Times New Roman" w:cs="Times New Roman"/>
          <w:sz w:val="24"/>
          <w:szCs w:val="24"/>
          <w:lang w:val="en-GB"/>
        </w:rPr>
        <w:t>ngers had suffered mistreatment</w:t>
      </w:r>
      <w:r w:rsidR="00C424B0" w:rsidRPr="00FD1F6E">
        <w:rPr>
          <w:rFonts w:ascii="Times New Roman" w:hAnsi="Times New Roman" w:cs="Times New Roman"/>
          <w:sz w:val="24"/>
          <w:szCs w:val="24"/>
          <w:lang w:val="en-GB"/>
        </w:rPr>
        <w:t>.</w:t>
      </w:r>
      <w:r w:rsidR="00C424B0" w:rsidRPr="00FD1F6E">
        <w:rPr>
          <w:rStyle w:val="Rimandonotaapidipagina"/>
          <w:rFonts w:ascii="Times New Roman" w:hAnsi="Times New Roman" w:cs="Times New Roman"/>
          <w:sz w:val="24"/>
          <w:szCs w:val="24"/>
          <w:lang w:val="en-GB"/>
        </w:rPr>
        <w:footnoteReference w:id="49"/>
      </w:r>
      <w:r w:rsidR="00C424B0" w:rsidRPr="00FD1F6E">
        <w:rPr>
          <w:rFonts w:ascii="Times New Roman" w:hAnsi="Times New Roman" w:cs="Times New Roman"/>
          <w:sz w:val="24"/>
          <w:szCs w:val="24"/>
          <w:lang w:val="en-GB"/>
        </w:rPr>
        <w:t xml:space="preserve"> </w:t>
      </w:r>
      <w:r w:rsidR="00705431">
        <w:rPr>
          <w:rFonts w:ascii="Times New Roman" w:hAnsi="Times New Roman" w:cs="Times New Roman"/>
          <w:sz w:val="24"/>
          <w:szCs w:val="24"/>
          <w:lang w:val="en-GB"/>
        </w:rPr>
        <w:t>It is thus unclear whether, by these references</w:t>
      </w:r>
      <w:r w:rsidR="00705431" w:rsidRPr="00FD1F6E">
        <w:rPr>
          <w:rFonts w:ascii="Times New Roman" w:hAnsi="Times New Roman" w:cs="Times New Roman"/>
          <w:sz w:val="24"/>
          <w:szCs w:val="24"/>
          <w:lang w:val="en-GB"/>
        </w:rPr>
        <w:t xml:space="preserve">, the OTP </w:t>
      </w:r>
      <w:r w:rsidR="00705431">
        <w:rPr>
          <w:rFonts w:ascii="Times New Roman" w:hAnsi="Times New Roman" w:cs="Times New Roman"/>
          <w:sz w:val="24"/>
          <w:szCs w:val="24"/>
          <w:lang w:val="en-GB"/>
        </w:rPr>
        <w:t xml:space="preserve">really intended to convey that it </w:t>
      </w:r>
      <w:r w:rsidR="00705431" w:rsidRPr="00FD1F6E">
        <w:rPr>
          <w:rFonts w:ascii="Times New Roman" w:hAnsi="Times New Roman" w:cs="Times New Roman"/>
          <w:sz w:val="24"/>
          <w:szCs w:val="24"/>
          <w:lang w:val="en-GB"/>
        </w:rPr>
        <w:t>consider</w:t>
      </w:r>
      <w:r w:rsidR="00705431">
        <w:rPr>
          <w:rFonts w:ascii="Times New Roman" w:hAnsi="Times New Roman" w:cs="Times New Roman"/>
          <w:sz w:val="24"/>
          <w:szCs w:val="24"/>
          <w:lang w:val="en-GB"/>
        </w:rPr>
        <w:t>ed</w:t>
      </w:r>
      <w:r w:rsidR="00705431" w:rsidRPr="00FD1F6E">
        <w:rPr>
          <w:rFonts w:ascii="Times New Roman" w:hAnsi="Times New Roman" w:cs="Times New Roman"/>
          <w:sz w:val="24"/>
          <w:szCs w:val="24"/>
          <w:lang w:val="en-GB"/>
        </w:rPr>
        <w:t xml:space="preserve"> </w:t>
      </w:r>
      <w:r w:rsidR="00705431">
        <w:rPr>
          <w:rFonts w:ascii="Times New Roman" w:hAnsi="Times New Roman" w:cs="Times New Roman"/>
          <w:sz w:val="24"/>
          <w:szCs w:val="24"/>
          <w:lang w:val="en-GB"/>
        </w:rPr>
        <w:t>‘many’ of</w:t>
      </w:r>
      <w:r w:rsidR="00705431" w:rsidRPr="00FD1F6E">
        <w:rPr>
          <w:rFonts w:ascii="Times New Roman" w:hAnsi="Times New Roman" w:cs="Times New Roman"/>
          <w:sz w:val="24"/>
          <w:szCs w:val="24"/>
          <w:lang w:val="en-GB"/>
        </w:rPr>
        <w:t xml:space="preserve"> the passengers aboard </w:t>
      </w:r>
      <w:r w:rsidR="00705431">
        <w:rPr>
          <w:rFonts w:ascii="Times New Roman" w:hAnsi="Times New Roman" w:cs="Times New Roman"/>
          <w:sz w:val="24"/>
          <w:szCs w:val="24"/>
          <w:lang w:val="en-GB"/>
        </w:rPr>
        <w:t>to have been</w:t>
      </w:r>
      <w:r w:rsidR="00705431" w:rsidRPr="00FD1F6E">
        <w:rPr>
          <w:rFonts w:ascii="Times New Roman" w:hAnsi="Times New Roman" w:cs="Times New Roman"/>
          <w:sz w:val="24"/>
          <w:szCs w:val="24"/>
          <w:lang w:val="en-GB"/>
        </w:rPr>
        <w:t xml:space="preserve"> potential victims</w:t>
      </w:r>
      <w:r w:rsidR="00705431">
        <w:rPr>
          <w:rFonts w:ascii="Times New Roman" w:hAnsi="Times New Roman" w:cs="Times New Roman"/>
          <w:sz w:val="24"/>
          <w:szCs w:val="24"/>
          <w:lang w:val="en-GB"/>
        </w:rPr>
        <w:t xml:space="preserve"> of outrages</w:t>
      </w:r>
      <w:r w:rsidR="00705431" w:rsidRPr="00FD1F6E">
        <w:rPr>
          <w:rFonts w:ascii="Times New Roman" w:hAnsi="Times New Roman" w:cs="Times New Roman"/>
          <w:sz w:val="24"/>
          <w:szCs w:val="24"/>
          <w:lang w:val="en-GB"/>
        </w:rPr>
        <w:t>, no</w:t>
      </w:r>
      <w:r w:rsidR="00705431">
        <w:rPr>
          <w:rFonts w:ascii="Times New Roman" w:hAnsi="Times New Roman" w:cs="Times New Roman"/>
          <w:sz w:val="24"/>
          <w:szCs w:val="24"/>
          <w:lang w:val="en-GB"/>
        </w:rPr>
        <w:t>t least as it made no</w:t>
      </w:r>
      <w:r w:rsidR="00705431" w:rsidRPr="00FD1F6E">
        <w:rPr>
          <w:rFonts w:ascii="Times New Roman" w:hAnsi="Times New Roman" w:cs="Times New Roman"/>
          <w:sz w:val="24"/>
          <w:szCs w:val="24"/>
          <w:lang w:val="en-GB"/>
        </w:rPr>
        <w:t xml:space="preserve"> </w:t>
      </w:r>
      <w:r w:rsidR="00705431">
        <w:rPr>
          <w:rFonts w:ascii="Times New Roman" w:hAnsi="Times New Roman" w:cs="Times New Roman"/>
          <w:sz w:val="24"/>
          <w:szCs w:val="24"/>
          <w:lang w:val="en-GB"/>
        </w:rPr>
        <w:t>endorsement of</w:t>
      </w:r>
      <w:r w:rsidR="00705431" w:rsidRPr="00FD1F6E">
        <w:rPr>
          <w:rFonts w:ascii="Times New Roman" w:hAnsi="Times New Roman" w:cs="Times New Roman"/>
          <w:sz w:val="24"/>
          <w:szCs w:val="24"/>
          <w:lang w:val="en-GB"/>
        </w:rPr>
        <w:t xml:space="preserve"> the Palmer-Uribe Panel’s opinion regarding the scale of the alleged mistreatments. </w:t>
      </w:r>
      <w:r w:rsidR="00C424B0" w:rsidRPr="00FD1F6E">
        <w:rPr>
          <w:rFonts w:ascii="Times New Roman" w:hAnsi="Times New Roman" w:cs="Times New Roman"/>
          <w:sz w:val="24"/>
          <w:szCs w:val="24"/>
          <w:lang w:val="en-GB"/>
        </w:rPr>
        <w:t>On</w:t>
      </w:r>
      <w:r w:rsidR="00073AD0" w:rsidRPr="00FD1F6E">
        <w:rPr>
          <w:rFonts w:ascii="Times New Roman" w:hAnsi="Times New Roman" w:cs="Times New Roman"/>
          <w:sz w:val="24"/>
          <w:szCs w:val="24"/>
          <w:lang w:val="en-GB"/>
        </w:rPr>
        <w:t>ly later, in the Response to the Application for Review</w:t>
      </w:r>
      <w:r w:rsidR="00C424B0" w:rsidRPr="00FD1F6E">
        <w:rPr>
          <w:rFonts w:ascii="Times New Roman" w:hAnsi="Times New Roman" w:cs="Times New Roman"/>
          <w:sz w:val="24"/>
          <w:szCs w:val="24"/>
          <w:lang w:val="en-GB"/>
        </w:rPr>
        <w:t>,</w:t>
      </w:r>
      <w:r w:rsidR="00C3572F">
        <w:rPr>
          <w:rFonts w:ascii="Times New Roman" w:hAnsi="Times New Roman" w:cs="Times New Roman"/>
          <w:sz w:val="24"/>
          <w:szCs w:val="24"/>
          <w:lang w:val="en-GB"/>
        </w:rPr>
        <w:t xml:space="preserve"> did</w:t>
      </w:r>
      <w:r w:rsidR="00705431">
        <w:rPr>
          <w:rFonts w:ascii="Times New Roman" w:hAnsi="Times New Roman" w:cs="Times New Roman"/>
          <w:sz w:val="24"/>
          <w:szCs w:val="24"/>
          <w:lang w:val="en-GB"/>
        </w:rPr>
        <w:t xml:space="preserve"> the OTP</w:t>
      </w:r>
      <w:r w:rsidR="00073AD0" w:rsidRPr="00FD1F6E">
        <w:rPr>
          <w:rFonts w:ascii="Times New Roman" w:hAnsi="Times New Roman" w:cs="Times New Roman"/>
          <w:sz w:val="24"/>
          <w:szCs w:val="24"/>
          <w:lang w:val="en-GB"/>
        </w:rPr>
        <w:t xml:space="preserve"> affir that the references to the Palmer-Uribe Panel</w:t>
      </w:r>
      <w:r w:rsidR="00705431">
        <w:rPr>
          <w:rFonts w:ascii="Times New Roman" w:hAnsi="Times New Roman" w:cs="Times New Roman"/>
          <w:sz w:val="24"/>
          <w:szCs w:val="24"/>
          <w:lang w:val="en-GB"/>
        </w:rPr>
        <w:t xml:space="preserve">’s assessment of </w:t>
      </w:r>
      <w:r w:rsidR="00073AD0" w:rsidRPr="00FD1F6E">
        <w:rPr>
          <w:rFonts w:ascii="Times New Roman" w:hAnsi="Times New Roman" w:cs="Times New Roman"/>
          <w:sz w:val="24"/>
          <w:szCs w:val="24"/>
          <w:lang w:val="en-GB"/>
        </w:rPr>
        <w:t>the number of victims had been taken into account in the assessment of the scale of the alleged crimes, even if the</w:t>
      </w:r>
      <w:r w:rsidR="00705431">
        <w:rPr>
          <w:rFonts w:ascii="Times New Roman" w:hAnsi="Times New Roman" w:cs="Times New Roman"/>
          <w:sz w:val="24"/>
          <w:szCs w:val="24"/>
          <w:lang w:val="en-GB"/>
        </w:rPr>
        <w:t xml:space="preserve"> precise</w:t>
      </w:r>
      <w:r w:rsidR="00073AD0" w:rsidRPr="00FD1F6E">
        <w:rPr>
          <w:rFonts w:ascii="Times New Roman" w:hAnsi="Times New Roman" w:cs="Times New Roman"/>
          <w:sz w:val="24"/>
          <w:szCs w:val="24"/>
          <w:lang w:val="en-GB"/>
        </w:rPr>
        <w:t xml:space="preserve"> number of victims was unclear.</w:t>
      </w:r>
      <w:r w:rsidR="00073AD0" w:rsidRPr="00FD1F6E">
        <w:rPr>
          <w:rStyle w:val="Rimandonotaapidipagina"/>
          <w:rFonts w:ascii="Times New Roman" w:hAnsi="Times New Roman" w:cs="Times New Roman"/>
          <w:sz w:val="24"/>
          <w:szCs w:val="24"/>
          <w:lang w:val="en-GB"/>
        </w:rPr>
        <w:footnoteReference w:id="50"/>
      </w:r>
      <w:r w:rsidR="00705431">
        <w:rPr>
          <w:rFonts w:ascii="Times New Roman" w:hAnsi="Times New Roman" w:cs="Times New Roman"/>
          <w:sz w:val="24"/>
          <w:szCs w:val="24"/>
          <w:lang w:val="en-GB"/>
        </w:rPr>
        <w:t xml:space="preserve"> This may or may not represent a subtle shift of position.</w:t>
      </w:r>
    </w:p>
    <w:p w:rsidR="00073AD0" w:rsidRDefault="00073AD0" w:rsidP="0073634A">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 </w:t>
      </w:r>
    </w:p>
    <w:p w:rsidR="00836E9E" w:rsidRDefault="00836E9E" w:rsidP="00836E9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Nevertheless</w:t>
      </w:r>
      <w:r w:rsidRPr="00FD1F6E">
        <w:rPr>
          <w:rFonts w:ascii="Times New Roman" w:hAnsi="Times New Roman" w:cs="Times New Roman"/>
          <w:sz w:val="24"/>
          <w:szCs w:val="24"/>
          <w:lang w:val="en-GB"/>
        </w:rPr>
        <w:t xml:space="preserve">, PTC I appears to have </w:t>
      </w:r>
      <w:r>
        <w:rPr>
          <w:rFonts w:ascii="Times New Roman" w:hAnsi="Times New Roman" w:cs="Times New Roman"/>
          <w:sz w:val="24"/>
          <w:szCs w:val="24"/>
          <w:lang w:val="en-GB"/>
        </w:rPr>
        <w:t>taken a narrow view of</w:t>
      </w:r>
      <w:r w:rsidRPr="00FD1F6E">
        <w:rPr>
          <w:rFonts w:ascii="Times New Roman" w:hAnsi="Times New Roman" w:cs="Times New Roman"/>
          <w:sz w:val="24"/>
          <w:szCs w:val="24"/>
          <w:lang w:val="en-GB"/>
        </w:rPr>
        <w:t xml:space="preserve"> the Decision Not to Investigate, </w:t>
      </w:r>
      <w:r>
        <w:rPr>
          <w:rFonts w:ascii="Times New Roman" w:hAnsi="Times New Roman" w:cs="Times New Roman"/>
          <w:sz w:val="24"/>
          <w:szCs w:val="24"/>
          <w:lang w:val="en-GB"/>
        </w:rPr>
        <w:t>and made</w:t>
      </w:r>
      <w:r w:rsidRPr="00FD1F6E">
        <w:rPr>
          <w:rFonts w:ascii="Times New Roman" w:hAnsi="Times New Roman" w:cs="Times New Roman"/>
          <w:sz w:val="24"/>
          <w:szCs w:val="24"/>
          <w:lang w:val="en-GB"/>
        </w:rPr>
        <w:t xml:space="preserve"> no reference </w:t>
      </w:r>
      <w:r>
        <w:rPr>
          <w:rFonts w:ascii="Times New Roman" w:hAnsi="Times New Roman" w:cs="Times New Roman"/>
          <w:sz w:val="24"/>
          <w:szCs w:val="24"/>
          <w:lang w:val="en-GB"/>
        </w:rPr>
        <w:t xml:space="preserve">at all in this respect </w:t>
      </w:r>
      <w:r w:rsidRPr="00FD1F6E">
        <w:rPr>
          <w:rFonts w:ascii="Times New Roman" w:hAnsi="Times New Roman" w:cs="Times New Roman"/>
          <w:sz w:val="24"/>
          <w:szCs w:val="24"/>
          <w:lang w:val="en-GB"/>
        </w:rPr>
        <w:t xml:space="preserve">to the Response to the Application for Review. PTC I </w:t>
      </w:r>
      <w:r>
        <w:rPr>
          <w:rFonts w:ascii="Times New Roman" w:hAnsi="Times New Roman" w:cs="Times New Roman"/>
          <w:sz w:val="24"/>
          <w:szCs w:val="24"/>
          <w:lang w:val="en-GB"/>
        </w:rPr>
        <w:t>thus</w:t>
      </w:r>
      <w:r w:rsidRPr="00FD1F6E">
        <w:rPr>
          <w:rFonts w:ascii="Times New Roman" w:hAnsi="Times New Roman" w:cs="Times New Roman"/>
          <w:sz w:val="24"/>
          <w:szCs w:val="24"/>
          <w:lang w:val="en-GB"/>
        </w:rPr>
        <w:t xml:space="preserve"> concluded that the OTP </w:t>
      </w:r>
      <w:r>
        <w:rPr>
          <w:rFonts w:ascii="Times New Roman" w:hAnsi="Times New Roman" w:cs="Times New Roman"/>
          <w:sz w:val="24"/>
          <w:szCs w:val="24"/>
          <w:lang w:val="en-GB"/>
        </w:rPr>
        <w:t xml:space="preserve">wrongly failed to take into account </w:t>
      </w:r>
      <w:r w:rsidRPr="00FD1F6E">
        <w:rPr>
          <w:rFonts w:ascii="Times New Roman" w:hAnsi="Times New Roman" w:cs="Times New Roman"/>
          <w:sz w:val="24"/>
          <w:szCs w:val="24"/>
          <w:lang w:val="en-GB"/>
        </w:rPr>
        <w:t>the fact that hundreds of passengers could have been victims of outrages upon personal dignity</w:t>
      </w:r>
      <w:r>
        <w:rPr>
          <w:rFonts w:ascii="Times New Roman" w:hAnsi="Times New Roman" w:cs="Times New Roman"/>
          <w:sz w:val="24"/>
          <w:szCs w:val="24"/>
          <w:lang w:val="en-GB"/>
        </w:rPr>
        <w:t>,</w:t>
      </w:r>
      <w:r w:rsidR="00285A1B" w:rsidRPr="00FD1F6E">
        <w:rPr>
          <w:rStyle w:val="Rimandonotaapidipagina"/>
          <w:rFonts w:ascii="Times New Roman" w:hAnsi="Times New Roman" w:cs="Times New Roman"/>
          <w:sz w:val="24"/>
          <w:szCs w:val="24"/>
          <w:lang w:val="en-GB"/>
        </w:rPr>
        <w:footnoteReference w:id="51"/>
      </w:r>
      <w:r>
        <w:rPr>
          <w:rFonts w:ascii="Times New Roman" w:hAnsi="Times New Roman" w:cs="Times New Roman"/>
          <w:sz w:val="24"/>
          <w:szCs w:val="24"/>
          <w:lang w:val="en-GB"/>
        </w:rPr>
        <w:t xml:space="preserve"> and as a result underestimated the actual number of victims</w:t>
      </w:r>
      <w:r w:rsidR="00285A1B" w:rsidRPr="00FD1F6E">
        <w:rPr>
          <w:rFonts w:ascii="Times New Roman" w:hAnsi="Times New Roman" w:cs="Times New Roman"/>
          <w:sz w:val="24"/>
          <w:szCs w:val="24"/>
          <w:lang w:val="en-GB"/>
        </w:rPr>
        <w:t>.</w:t>
      </w:r>
      <w:r w:rsidR="00646BBE" w:rsidRPr="00FD1F6E">
        <w:rPr>
          <w:rStyle w:val="Rimandonotaapidipagina"/>
          <w:rFonts w:ascii="Times New Roman" w:hAnsi="Times New Roman" w:cs="Times New Roman"/>
          <w:sz w:val="24"/>
          <w:szCs w:val="24"/>
          <w:lang w:val="en-GB"/>
        </w:rPr>
        <w:footnoteReference w:id="52"/>
      </w:r>
      <w:r w:rsidR="00285A1B" w:rsidRPr="00FD1F6E">
        <w:rPr>
          <w:rFonts w:ascii="Times New Roman" w:hAnsi="Times New Roman" w:cs="Times New Roman"/>
          <w:sz w:val="24"/>
          <w:szCs w:val="24"/>
          <w:lang w:val="en-GB"/>
        </w:rPr>
        <w:t xml:space="preserve"> </w:t>
      </w:r>
    </w:p>
    <w:p w:rsidR="00836E9E" w:rsidRDefault="00836E9E" w:rsidP="00836E9E">
      <w:pPr>
        <w:spacing w:after="0" w:line="360" w:lineRule="auto"/>
        <w:jc w:val="both"/>
        <w:rPr>
          <w:rFonts w:ascii="Times New Roman" w:hAnsi="Times New Roman" w:cs="Times New Roman"/>
          <w:sz w:val="24"/>
          <w:szCs w:val="24"/>
          <w:lang w:val="en-GB"/>
        </w:rPr>
      </w:pPr>
    </w:p>
    <w:p w:rsidR="002B4C98" w:rsidRPr="00FD1F6E" w:rsidRDefault="002B4C98" w:rsidP="0073634A">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On this issue, there is room to argue that the OTP failed to express its position clearly in the Decision Not to Investigate, while, on the other hand, PTC I erred in not paying attention to the clarification provided by the OTP in documents produced after the Request for Review. However, the OTP position would have been more solid if it had expressed its opinion more clearly in the Decision Not to Investigate. </w:t>
      </w:r>
    </w:p>
    <w:p w:rsidR="00836E9E" w:rsidRDefault="00836E9E" w:rsidP="0073634A">
      <w:pPr>
        <w:spacing w:after="0" w:line="360" w:lineRule="auto"/>
        <w:jc w:val="both"/>
        <w:rPr>
          <w:rFonts w:ascii="Times New Roman" w:hAnsi="Times New Roman" w:cs="Times New Roman"/>
          <w:sz w:val="24"/>
          <w:szCs w:val="24"/>
          <w:lang w:val="en-GB"/>
        </w:rPr>
      </w:pPr>
    </w:p>
    <w:p w:rsidR="00BC23F2" w:rsidRPr="00FD1F6E" w:rsidRDefault="0073634A" w:rsidP="0073634A">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Second, the nature of the alleged crimes was not sufficiently explored by the OTP.</w:t>
      </w:r>
      <w:r w:rsidR="00BC23F2" w:rsidRPr="00FD1F6E">
        <w:rPr>
          <w:rFonts w:ascii="Times New Roman" w:hAnsi="Times New Roman" w:cs="Times New Roman"/>
          <w:sz w:val="24"/>
          <w:szCs w:val="24"/>
          <w:lang w:val="en-GB"/>
        </w:rPr>
        <w:t xml:space="preserve"> According to the Decision Not to Investigate,</w:t>
      </w:r>
    </w:p>
    <w:p w:rsidR="00BC23F2" w:rsidRPr="00FD1F6E" w:rsidRDefault="00BC23F2" w:rsidP="00BC23F2">
      <w:pPr>
        <w:pStyle w:val="Testonotaapidipagina"/>
        <w:jc w:val="both"/>
        <w:rPr>
          <w:rFonts w:ascii="Times New Roman" w:hAnsi="Times New Roman" w:cs="Times New Roman"/>
          <w:sz w:val="24"/>
          <w:szCs w:val="24"/>
          <w:lang w:val="en-GB"/>
        </w:rPr>
      </w:pPr>
    </w:p>
    <w:p w:rsidR="00BC23F2" w:rsidRPr="00FD1F6E" w:rsidRDefault="00836E9E" w:rsidP="00BC23F2">
      <w:pPr>
        <w:pStyle w:val="Testonotaapidipagina"/>
        <w:ind w:left="28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w:t>
      </w:r>
      <w:r w:rsidR="00BC23F2" w:rsidRPr="00FD1F6E">
        <w:rPr>
          <w:rFonts w:ascii="Times New Roman" w:hAnsi="Times New Roman" w:cs="Times New Roman"/>
          <w:sz w:val="24"/>
          <w:szCs w:val="24"/>
          <w:lang w:val="en-GB"/>
        </w:rPr>
        <w:t xml:space="preserve">here is a reasonable basis to believe that the following war crimes have been committed: wilful killing and wilfully causing serious injury to body and health under article 8(2)(a)(i) and article 8(2)(a)(iii) – both of which are grave breaches of the Geneva Conventions – as well as the war crime of committing outrages upon personal dignity under article 8(2)(b)(xxi). With respect to this latter crime, the available information suggests that following the takeover of the </w:t>
      </w:r>
      <w:r w:rsidR="00BC23F2" w:rsidRPr="00FD1F6E">
        <w:rPr>
          <w:rFonts w:ascii="Times New Roman" w:hAnsi="Times New Roman" w:cs="Times New Roman"/>
          <w:i/>
          <w:iCs/>
          <w:sz w:val="24"/>
          <w:szCs w:val="24"/>
          <w:lang w:val="en-GB"/>
        </w:rPr>
        <w:t>Mavi Marmara</w:t>
      </w:r>
      <w:r w:rsidR="00BC23F2" w:rsidRPr="00FD1F6E">
        <w:rPr>
          <w:rFonts w:ascii="Times New Roman" w:hAnsi="Times New Roman" w:cs="Times New Roman"/>
          <w:sz w:val="24"/>
          <w:szCs w:val="24"/>
          <w:lang w:val="en-GB"/>
        </w:rPr>
        <w:t>, there was mistreatment and harassment of passengers by the IDF forces and that such humiliating or degrading treatment lacked justification or explanation. It is noted, however, that the information available does not indicate that the treatment inflicted on the affected passengers amounted to torture or inhuman treatment.</w:t>
      </w:r>
      <w:r w:rsidR="00BC23F2" w:rsidRPr="00FD1F6E">
        <w:rPr>
          <w:rStyle w:val="Rimandonotaapidipagina"/>
          <w:rFonts w:ascii="Times New Roman" w:hAnsi="Times New Roman" w:cs="Times New Roman"/>
          <w:sz w:val="24"/>
          <w:szCs w:val="24"/>
          <w:lang w:val="en-GB"/>
        </w:rPr>
        <w:footnoteReference w:id="53"/>
      </w:r>
    </w:p>
    <w:p w:rsidR="00BC23F2" w:rsidRPr="00FD1F6E" w:rsidRDefault="00BC23F2" w:rsidP="00CA0198">
      <w:pPr>
        <w:spacing w:after="0" w:line="360" w:lineRule="auto"/>
        <w:jc w:val="both"/>
        <w:rPr>
          <w:rFonts w:ascii="Times New Roman" w:hAnsi="Times New Roman" w:cs="Times New Roman"/>
          <w:sz w:val="24"/>
          <w:szCs w:val="24"/>
          <w:lang w:val="en-GB"/>
        </w:rPr>
      </w:pPr>
    </w:p>
    <w:p w:rsidR="00CE7340" w:rsidRPr="00FD1F6E" w:rsidRDefault="00400DF0"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This paragraph says very little regarding the nature of the </w:t>
      </w:r>
      <w:r w:rsidR="00A11642" w:rsidRPr="00FD1F6E">
        <w:rPr>
          <w:rFonts w:ascii="Times New Roman" w:hAnsi="Times New Roman" w:cs="Times New Roman"/>
          <w:sz w:val="24"/>
          <w:szCs w:val="24"/>
          <w:lang w:val="en-GB"/>
        </w:rPr>
        <w:t>alleged crimes</w:t>
      </w:r>
      <w:r w:rsidR="00942A5D" w:rsidRPr="00FD1F6E">
        <w:rPr>
          <w:rFonts w:ascii="Times New Roman" w:hAnsi="Times New Roman" w:cs="Times New Roman"/>
          <w:sz w:val="24"/>
          <w:szCs w:val="24"/>
          <w:lang w:val="en-GB"/>
        </w:rPr>
        <w:t>; i</w:t>
      </w:r>
      <w:r w:rsidRPr="00FD1F6E">
        <w:rPr>
          <w:rFonts w:ascii="Times New Roman" w:hAnsi="Times New Roman" w:cs="Times New Roman"/>
          <w:sz w:val="24"/>
          <w:szCs w:val="24"/>
          <w:lang w:val="en-GB"/>
        </w:rPr>
        <w:t xml:space="preserve">t </w:t>
      </w:r>
      <w:r w:rsidR="00942A5D" w:rsidRPr="00FD1F6E">
        <w:rPr>
          <w:rFonts w:ascii="Times New Roman" w:hAnsi="Times New Roman" w:cs="Times New Roman"/>
          <w:sz w:val="24"/>
          <w:szCs w:val="24"/>
          <w:lang w:val="en-GB"/>
        </w:rPr>
        <w:t>merely</w:t>
      </w:r>
      <w:r w:rsidRPr="00FD1F6E">
        <w:rPr>
          <w:rFonts w:ascii="Times New Roman" w:hAnsi="Times New Roman" w:cs="Times New Roman"/>
          <w:sz w:val="24"/>
          <w:szCs w:val="24"/>
          <w:lang w:val="en-GB"/>
        </w:rPr>
        <w:t xml:space="preserve"> enumerates the crimes that the O</w:t>
      </w:r>
      <w:r w:rsidR="00A765F7" w:rsidRPr="00FD1F6E">
        <w:rPr>
          <w:rFonts w:ascii="Times New Roman" w:hAnsi="Times New Roman" w:cs="Times New Roman"/>
          <w:sz w:val="24"/>
          <w:szCs w:val="24"/>
          <w:lang w:val="en-GB"/>
        </w:rPr>
        <w:t>TP</w:t>
      </w:r>
      <w:r w:rsidRPr="00FD1F6E">
        <w:rPr>
          <w:rFonts w:ascii="Times New Roman" w:hAnsi="Times New Roman" w:cs="Times New Roman"/>
          <w:sz w:val="24"/>
          <w:szCs w:val="24"/>
          <w:lang w:val="en-GB"/>
        </w:rPr>
        <w:t xml:space="preserve"> considered likely to </w:t>
      </w:r>
      <w:r w:rsidR="00942A5D" w:rsidRPr="00FD1F6E">
        <w:rPr>
          <w:rFonts w:ascii="Times New Roman" w:hAnsi="Times New Roman" w:cs="Times New Roman"/>
          <w:sz w:val="24"/>
          <w:szCs w:val="24"/>
          <w:lang w:val="en-GB"/>
        </w:rPr>
        <w:t>have</w:t>
      </w:r>
      <w:r w:rsidRPr="00FD1F6E">
        <w:rPr>
          <w:rFonts w:ascii="Times New Roman" w:hAnsi="Times New Roman" w:cs="Times New Roman"/>
          <w:sz w:val="24"/>
          <w:szCs w:val="24"/>
          <w:lang w:val="en-GB"/>
        </w:rPr>
        <w:t xml:space="preserve"> occurred. It does not provide any </w:t>
      </w:r>
      <w:r w:rsidR="00942A5D" w:rsidRPr="00FD1F6E">
        <w:rPr>
          <w:rFonts w:ascii="Times New Roman" w:hAnsi="Times New Roman" w:cs="Times New Roman"/>
          <w:sz w:val="24"/>
          <w:szCs w:val="24"/>
          <w:lang w:val="en-GB"/>
        </w:rPr>
        <w:t>guidance</w:t>
      </w:r>
      <w:r w:rsidRPr="00FD1F6E">
        <w:rPr>
          <w:rFonts w:ascii="Times New Roman" w:hAnsi="Times New Roman" w:cs="Times New Roman"/>
          <w:sz w:val="24"/>
          <w:szCs w:val="24"/>
          <w:lang w:val="en-GB"/>
        </w:rPr>
        <w:t xml:space="preserve"> regarding the</w:t>
      </w:r>
      <w:r w:rsidR="00711DFB" w:rsidRPr="00FD1F6E">
        <w:rPr>
          <w:rFonts w:ascii="Times New Roman" w:hAnsi="Times New Roman" w:cs="Times New Roman"/>
          <w:sz w:val="24"/>
          <w:szCs w:val="24"/>
          <w:lang w:val="en-GB"/>
        </w:rPr>
        <w:t xml:space="preserve"> specific</w:t>
      </w:r>
      <w:r w:rsidRPr="00FD1F6E">
        <w:rPr>
          <w:rFonts w:ascii="Times New Roman" w:hAnsi="Times New Roman" w:cs="Times New Roman"/>
          <w:sz w:val="24"/>
          <w:szCs w:val="24"/>
          <w:lang w:val="en-GB"/>
        </w:rPr>
        <w:t xml:space="preserve"> </w:t>
      </w:r>
      <w:r w:rsidR="00711DFB" w:rsidRPr="00FD1F6E">
        <w:rPr>
          <w:rFonts w:ascii="Times New Roman" w:hAnsi="Times New Roman" w:cs="Times New Roman"/>
          <w:sz w:val="24"/>
          <w:szCs w:val="24"/>
          <w:lang w:val="en-GB"/>
        </w:rPr>
        <w:t>character of those</w:t>
      </w:r>
      <w:r w:rsidRPr="00FD1F6E">
        <w:rPr>
          <w:rFonts w:ascii="Times New Roman" w:hAnsi="Times New Roman" w:cs="Times New Roman"/>
          <w:sz w:val="24"/>
          <w:szCs w:val="24"/>
          <w:lang w:val="en-GB"/>
        </w:rPr>
        <w:t xml:space="preserve"> facts, which are the basis of the evaluation of the nature of crimes</w:t>
      </w:r>
      <w:r w:rsidR="00711DFB" w:rsidRPr="00FD1F6E">
        <w:rPr>
          <w:rFonts w:ascii="Times New Roman" w:hAnsi="Times New Roman" w:cs="Times New Roman"/>
          <w:sz w:val="24"/>
          <w:szCs w:val="24"/>
          <w:lang w:val="en-GB"/>
        </w:rPr>
        <w:t>,</w:t>
      </w:r>
      <w:r w:rsidR="00711DFB" w:rsidRPr="00FD1F6E">
        <w:rPr>
          <w:rStyle w:val="Rimandonotaapidipagina"/>
          <w:rFonts w:ascii="Times New Roman" w:hAnsi="Times New Roman" w:cs="Times New Roman"/>
          <w:sz w:val="24"/>
          <w:szCs w:val="24"/>
          <w:lang w:val="en-GB"/>
        </w:rPr>
        <w:footnoteReference w:id="54"/>
      </w:r>
      <w:r w:rsidR="00711DFB" w:rsidRPr="00FD1F6E">
        <w:rPr>
          <w:rFonts w:ascii="Times New Roman" w:hAnsi="Times New Roman" w:cs="Times New Roman"/>
          <w:sz w:val="24"/>
          <w:szCs w:val="24"/>
          <w:lang w:val="en-GB"/>
        </w:rPr>
        <w:t xml:space="preserve"> even</w:t>
      </w:r>
      <w:r w:rsidRPr="00FD1F6E">
        <w:rPr>
          <w:rFonts w:ascii="Times New Roman" w:hAnsi="Times New Roman" w:cs="Times New Roman"/>
          <w:sz w:val="24"/>
          <w:szCs w:val="24"/>
          <w:lang w:val="en-GB"/>
        </w:rPr>
        <w:t xml:space="preserve"> according to the O</w:t>
      </w:r>
      <w:r w:rsidR="00A765F7" w:rsidRPr="00FD1F6E">
        <w:rPr>
          <w:rFonts w:ascii="Times New Roman" w:hAnsi="Times New Roman" w:cs="Times New Roman"/>
          <w:sz w:val="24"/>
          <w:szCs w:val="24"/>
          <w:lang w:val="en-GB"/>
        </w:rPr>
        <w:t>TP</w:t>
      </w:r>
      <w:r w:rsidR="00836E9E">
        <w:rPr>
          <w:rFonts w:ascii="Times New Roman" w:hAnsi="Times New Roman" w:cs="Times New Roman"/>
          <w:sz w:val="24"/>
          <w:szCs w:val="24"/>
          <w:lang w:val="en-GB"/>
        </w:rPr>
        <w:t>’s own policy</w:t>
      </w:r>
      <w:r w:rsidRPr="00FD1F6E">
        <w:rPr>
          <w:rFonts w:ascii="Times New Roman" w:hAnsi="Times New Roman" w:cs="Times New Roman"/>
          <w:sz w:val="24"/>
          <w:szCs w:val="24"/>
          <w:lang w:val="en-GB"/>
        </w:rPr>
        <w:t>.</w:t>
      </w:r>
      <w:r w:rsidRPr="00FD1F6E">
        <w:rPr>
          <w:rStyle w:val="Rimandonotaapidipagina"/>
          <w:rFonts w:ascii="Times New Roman" w:hAnsi="Times New Roman" w:cs="Times New Roman"/>
          <w:sz w:val="24"/>
          <w:szCs w:val="24"/>
          <w:lang w:val="en-GB"/>
        </w:rPr>
        <w:footnoteReference w:id="55"/>
      </w:r>
      <w:r w:rsidRPr="00FD1F6E">
        <w:rPr>
          <w:rFonts w:ascii="Times New Roman" w:hAnsi="Times New Roman" w:cs="Times New Roman"/>
          <w:sz w:val="24"/>
          <w:szCs w:val="24"/>
          <w:lang w:val="en-GB"/>
        </w:rPr>
        <w:t xml:space="preserve"> </w:t>
      </w:r>
    </w:p>
    <w:p w:rsidR="00836E9E" w:rsidRDefault="00836E9E" w:rsidP="00CA0198">
      <w:pPr>
        <w:spacing w:after="0" w:line="360" w:lineRule="auto"/>
        <w:jc w:val="both"/>
        <w:rPr>
          <w:rFonts w:ascii="Times New Roman" w:hAnsi="Times New Roman" w:cs="Times New Roman"/>
          <w:sz w:val="24"/>
          <w:szCs w:val="24"/>
          <w:lang w:val="en-GB"/>
        </w:rPr>
      </w:pPr>
    </w:p>
    <w:p w:rsidR="00AA36D1" w:rsidRDefault="00400DF0"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Strangely enough, the O</w:t>
      </w:r>
      <w:r w:rsidR="00A765F7" w:rsidRPr="00FD1F6E">
        <w:rPr>
          <w:rFonts w:ascii="Times New Roman" w:hAnsi="Times New Roman" w:cs="Times New Roman"/>
          <w:sz w:val="24"/>
          <w:szCs w:val="24"/>
          <w:lang w:val="en-GB"/>
        </w:rPr>
        <w:t>TP</w:t>
      </w:r>
      <w:r w:rsidRPr="00FD1F6E">
        <w:rPr>
          <w:rFonts w:ascii="Times New Roman" w:hAnsi="Times New Roman" w:cs="Times New Roman"/>
          <w:sz w:val="24"/>
          <w:szCs w:val="24"/>
          <w:lang w:val="en-GB"/>
        </w:rPr>
        <w:t xml:space="preserve"> included in the evaluation of the nature of crimes – and, consequently, in the assessment of gravity – the consideration that these facts did not amount to torture, but merely to outrages upon personal dignity. This unusual reference to the legal qualification of the facts in a paragraph about gravity </w:t>
      </w:r>
      <w:r w:rsidR="00AA36D1">
        <w:rPr>
          <w:rFonts w:ascii="Times New Roman" w:hAnsi="Times New Roman" w:cs="Times New Roman"/>
          <w:sz w:val="24"/>
          <w:szCs w:val="24"/>
          <w:lang w:val="en-GB"/>
        </w:rPr>
        <w:t xml:space="preserve">appears to have </w:t>
      </w:r>
      <w:r w:rsidRPr="00FD1F6E">
        <w:rPr>
          <w:rFonts w:ascii="Times New Roman" w:hAnsi="Times New Roman" w:cs="Times New Roman"/>
          <w:sz w:val="24"/>
          <w:szCs w:val="24"/>
          <w:lang w:val="en-GB"/>
        </w:rPr>
        <w:t>misled</w:t>
      </w:r>
      <w:r w:rsidR="00942A5D" w:rsidRPr="00FD1F6E">
        <w:rPr>
          <w:rFonts w:ascii="Times New Roman" w:hAnsi="Times New Roman" w:cs="Times New Roman"/>
          <w:sz w:val="24"/>
          <w:szCs w:val="24"/>
          <w:lang w:val="en-GB"/>
        </w:rPr>
        <w:t xml:space="preserve"> </w:t>
      </w:r>
      <w:r w:rsidR="00AA36D1">
        <w:rPr>
          <w:rFonts w:ascii="Times New Roman" w:hAnsi="Times New Roman" w:cs="Times New Roman"/>
          <w:sz w:val="24"/>
          <w:szCs w:val="24"/>
          <w:lang w:val="en-GB"/>
        </w:rPr>
        <w:t xml:space="preserve">the majority of </w:t>
      </w:r>
      <w:r w:rsidRPr="00FD1F6E">
        <w:rPr>
          <w:rFonts w:ascii="Times New Roman" w:hAnsi="Times New Roman" w:cs="Times New Roman"/>
          <w:sz w:val="24"/>
          <w:szCs w:val="24"/>
          <w:lang w:val="en-GB"/>
        </w:rPr>
        <w:t>PTC I</w:t>
      </w:r>
      <w:r w:rsidR="00A765F7" w:rsidRPr="00FD1F6E">
        <w:rPr>
          <w:rFonts w:ascii="Times New Roman" w:hAnsi="Times New Roman" w:cs="Times New Roman"/>
          <w:sz w:val="24"/>
          <w:szCs w:val="24"/>
          <w:lang w:val="en-GB"/>
        </w:rPr>
        <w:t xml:space="preserve">, </w:t>
      </w:r>
      <w:r w:rsidR="00AA36D1">
        <w:rPr>
          <w:rFonts w:ascii="Times New Roman" w:hAnsi="Times New Roman" w:cs="Times New Roman"/>
          <w:sz w:val="24"/>
          <w:szCs w:val="24"/>
          <w:lang w:val="en-GB"/>
        </w:rPr>
        <w:t>which</w:t>
      </w:r>
      <w:r w:rsidR="00A765F7" w:rsidRPr="00FD1F6E">
        <w:rPr>
          <w:rFonts w:ascii="Times New Roman" w:hAnsi="Times New Roman" w:cs="Times New Roman"/>
          <w:sz w:val="24"/>
          <w:szCs w:val="24"/>
          <w:lang w:val="en-GB"/>
        </w:rPr>
        <w:t xml:space="preserve"> </w:t>
      </w:r>
      <w:r w:rsidR="00A54C6D" w:rsidRPr="00FD1F6E">
        <w:rPr>
          <w:rFonts w:ascii="Times New Roman" w:hAnsi="Times New Roman" w:cs="Times New Roman"/>
          <w:sz w:val="24"/>
          <w:szCs w:val="24"/>
          <w:lang w:val="en-GB"/>
        </w:rPr>
        <w:t>considered that th</w:t>
      </w:r>
      <w:r w:rsidRPr="00FD1F6E">
        <w:rPr>
          <w:rFonts w:ascii="Times New Roman" w:hAnsi="Times New Roman" w:cs="Times New Roman"/>
          <w:sz w:val="24"/>
          <w:szCs w:val="24"/>
          <w:lang w:val="en-GB"/>
        </w:rPr>
        <w:t>e legal</w:t>
      </w:r>
      <w:r w:rsidR="00A54C6D" w:rsidRPr="00FD1F6E">
        <w:rPr>
          <w:rFonts w:ascii="Times New Roman" w:hAnsi="Times New Roman" w:cs="Times New Roman"/>
          <w:sz w:val="24"/>
          <w:szCs w:val="24"/>
          <w:lang w:val="en-GB"/>
        </w:rPr>
        <w:t xml:space="preserve"> qualification of the facts as outrage</w:t>
      </w:r>
      <w:r w:rsidR="00AA36D1">
        <w:rPr>
          <w:rFonts w:ascii="Times New Roman" w:hAnsi="Times New Roman" w:cs="Times New Roman"/>
          <w:sz w:val="24"/>
          <w:szCs w:val="24"/>
          <w:lang w:val="en-GB"/>
        </w:rPr>
        <w:t>s upon personal dignity</w:t>
      </w:r>
      <w:r w:rsidR="00A54C6D" w:rsidRPr="00FD1F6E">
        <w:rPr>
          <w:rFonts w:ascii="Times New Roman" w:hAnsi="Times New Roman" w:cs="Times New Roman"/>
          <w:sz w:val="24"/>
          <w:szCs w:val="24"/>
          <w:lang w:val="en-GB"/>
        </w:rPr>
        <w:t xml:space="preserve"> and not torture</w:t>
      </w:r>
      <w:r w:rsidR="00AA36D1">
        <w:rPr>
          <w:rFonts w:ascii="Times New Roman" w:hAnsi="Times New Roman" w:cs="Times New Roman"/>
          <w:sz w:val="24"/>
          <w:szCs w:val="24"/>
          <w:lang w:val="en-GB"/>
        </w:rPr>
        <w:t>,</w:t>
      </w:r>
      <w:r w:rsidR="00A54C6D" w:rsidRPr="00FD1F6E">
        <w:rPr>
          <w:rFonts w:ascii="Times New Roman" w:hAnsi="Times New Roman" w:cs="Times New Roman"/>
          <w:sz w:val="24"/>
          <w:szCs w:val="24"/>
          <w:lang w:val="en-GB"/>
        </w:rPr>
        <w:t xml:space="preserve"> had influenced the</w:t>
      </w:r>
      <w:r w:rsidRPr="00FD1F6E">
        <w:rPr>
          <w:rFonts w:ascii="Times New Roman" w:hAnsi="Times New Roman" w:cs="Times New Roman"/>
          <w:sz w:val="24"/>
          <w:szCs w:val="24"/>
          <w:lang w:val="en-GB"/>
        </w:rPr>
        <w:t xml:space="preserve"> </w:t>
      </w:r>
      <w:r w:rsidR="00A765F7" w:rsidRPr="00FD1F6E">
        <w:rPr>
          <w:rFonts w:ascii="Times New Roman" w:hAnsi="Times New Roman" w:cs="Times New Roman"/>
          <w:sz w:val="24"/>
          <w:szCs w:val="24"/>
          <w:lang w:val="en-GB"/>
        </w:rPr>
        <w:t>OTP</w:t>
      </w:r>
      <w:r w:rsidRPr="00FD1F6E">
        <w:rPr>
          <w:rFonts w:ascii="Times New Roman" w:hAnsi="Times New Roman" w:cs="Times New Roman"/>
          <w:sz w:val="24"/>
          <w:szCs w:val="24"/>
          <w:lang w:val="en-GB"/>
        </w:rPr>
        <w:t>’s</w:t>
      </w:r>
      <w:r w:rsidR="00A54C6D" w:rsidRPr="00FD1F6E">
        <w:rPr>
          <w:rFonts w:ascii="Times New Roman" w:hAnsi="Times New Roman" w:cs="Times New Roman"/>
          <w:sz w:val="24"/>
          <w:szCs w:val="24"/>
          <w:lang w:val="en-GB"/>
        </w:rPr>
        <w:t xml:space="preserve"> evaluation of the gravity.</w:t>
      </w:r>
      <w:r w:rsidR="00A54C6D" w:rsidRPr="00FD1F6E">
        <w:rPr>
          <w:rStyle w:val="Rimandonotaapidipagina"/>
          <w:rFonts w:ascii="Times New Roman" w:hAnsi="Times New Roman" w:cs="Times New Roman"/>
          <w:sz w:val="24"/>
          <w:szCs w:val="24"/>
          <w:lang w:val="en-GB"/>
        </w:rPr>
        <w:footnoteReference w:id="56"/>
      </w:r>
      <w:r w:rsidR="00A54C6D" w:rsidRPr="00FD1F6E">
        <w:rPr>
          <w:rFonts w:ascii="Times New Roman" w:hAnsi="Times New Roman" w:cs="Times New Roman"/>
          <w:sz w:val="24"/>
          <w:szCs w:val="24"/>
          <w:lang w:val="en-GB"/>
        </w:rPr>
        <w:t xml:space="preserve"> </w:t>
      </w:r>
      <w:r w:rsidR="00942A5D" w:rsidRPr="00FD1F6E">
        <w:rPr>
          <w:rFonts w:ascii="Times New Roman" w:hAnsi="Times New Roman" w:cs="Times New Roman"/>
          <w:sz w:val="24"/>
          <w:szCs w:val="24"/>
          <w:lang w:val="en-GB"/>
        </w:rPr>
        <w:t>However, this was probably</w:t>
      </w:r>
      <w:r w:rsidR="00A54C6D" w:rsidRPr="00FD1F6E">
        <w:rPr>
          <w:rFonts w:ascii="Times New Roman" w:hAnsi="Times New Roman" w:cs="Times New Roman"/>
          <w:sz w:val="24"/>
          <w:szCs w:val="24"/>
          <w:lang w:val="en-GB"/>
        </w:rPr>
        <w:t xml:space="preserve"> not the </w:t>
      </w:r>
      <w:r w:rsidR="00942A5D" w:rsidRPr="00FD1F6E">
        <w:rPr>
          <w:rFonts w:ascii="Times New Roman" w:hAnsi="Times New Roman" w:cs="Times New Roman"/>
          <w:sz w:val="24"/>
          <w:szCs w:val="24"/>
          <w:lang w:val="en-GB"/>
        </w:rPr>
        <w:t xml:space="preserve">OTP’s </w:t>
      </w:r>
      <w:r w:rsidR="00A54C6D" w:rsidRPr="00FD1F6E">
        <w:rPr>
          <w:rFonts w:ascii="Times New Roman" w:hAnsi="Times New Roman" w:cs="Times New Roman"/>
          <w:sz w:val="24"/>
          <w:szCs w:val="24"/>
          <w:lang w:val="en-GB"/>
        </w:rPr>
        <w:t xml:space="preserve">intention, and PTC I read too much into </w:t>
      </w:r>
      <w:r w:rsidRPr="00FD1F6E">
        <w:rPr>
          <w:rFonts w:ascii="Times New Roman" w:hAnsi="Times New Roman" w:cs="Times New Roman"/>
          <w:sz w:val="24"/>
          <w:szCs w:val="24"/>
          <w:lang w:val="en-GB"/>
        </w:rPr>
        <w:t xml:space="preserve">the Decision Not to Investigate, as confirmed by the </w:t>
      </w:r>
      <w:r w:rsidR="00A765F7" w:rsidRPr="00FD1F6E">
        <w:rPr>
          <w:rFonts w:ascii="Times New Roman" w:hAnsi="Times New Roman" w:cs="Times New Roman"/>
          <w:sz w:val="24"/>
          <w:szCs w:val="24"/>
          <w:lang w:val="en-GB"/>
        </w:rPr>
        <w:t>OT</w:t>
      </w:r>
      <w:r w:rsidRPr="00FD1F6E">
        <w:rPr>
          <w:rFonts w:ascii="Times New Roman" w:hAnsi="Times New Roman" w:cs="Times New Roman"/>
          <w:sz w:val="24"/>
          <w:szCs w:val="24"/>
          <w:lang w:val="en-GB"/>
        </w:rPr>
        <w:t>P in the Response to the Application for Review, where</w:t>
      </w:r>
      <w:r w:rsidR="00942A5D" w:rsidRPr="00FD1F6E">
        <w:rPr>
          <w:rFonts w:ascii="Times New Roman" w:hAnsi="Times New Roman" w:cs="Times New Roman"/>
          <w:sz w:val="24"/>
          <w:szCs w:val="24"/>
          <w:lang w:val="en-GB"/>
        </w:rPr>
        <w:t>in</w:t>
      </w:r>
      <w:r w:rsidRPr="00FD1F6E">
        <w:rPr>
          <w:rFonts w:ascii="Times New Roman" w:hAnsi="Times New Roman" w:cs="Times New Roman"/>
          <w:sz w:val="24"/>
          <w:szCs w:val="24"/>
          <w:lang w:val="en-GB"/>
        </w:rPr>
        <w:t xml:space="preserve"> it stated that a different qualification of the facts would not have changed the outcome regarding the gravity issue.</w:t>
      </w:r>
      <w:r w:rsidRPr="00FD1F6E">
        <w:rPr>
          <w:rStyle w:val="Rimandonotaapidipagina"/>
          <w:rFonts w:ascii="Times New Roman" w:hAnsi="Times New Roman" w:cs="Times New Roman"/>
          <w:sz w:val="24"/>
          <w:szCs w:val="24"/>
          <w:lang w:val="en-GB"/>
        </w:rPr>
        <w:footnoteReference w:id="57"/>
      </w:r>
    </w:p>
    <w:p w:rsidR="00400DF0" w:rsidRPr="00FD1F6E" w:rsidRDefault="00400DF0"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 </w:t>
      </w:r>
    </w:p>
    <w:p w:rsidR="00AA36D1" w:rsidRDefault="00936979"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However, </w:t>
      </w:r>
      <w:r w:rsidR="00942A5D" w:rsidRPr="00FD1F6E">
        <w:rPr>
          <w:rFonts w:ascii="Times New Roman" w:hAnsi="Times New Roman" w:cs="Times New Roman"/>
          <w:sz w:val="24"/>
          <w:szCs w:val="24"/>
          <w:lang w:val="en-GB"/>
        </w:rPr>
        <w:t xml:space="preserve">with respect to </w:t>
      </w:r>
      <w:r w:rsidRPr="00FD1F6E">
        <w:rPr>
          <w:rFonts w:ascii="Times New Roman" w:hAnsi="Times New Roman" w:cs="Times New Roman"/>
          <w:sz w:val="24"/>
          <w:szCs w:val="24"/>
          <w:lang w:val="en-GB"/>
        </w:rPr>
        <w:t>the nature of the crimes</w:t>
      </w:r>
      <w:r w:rsidR="00C3572F">
        <w:rPr>
          <w:rFonts w:ascii="Times New Roman" w:hAnsi="Times New Roman" w:cs="Times New Roman"/>
          <w:sz w:val="24"/>
          <w:szCs w:val="24"/>
          <w:lang w:val="en-GB"/>
        </w:rPr>
        <w:t>,</w:t>
      </w:r>
      <w:r w:rsidRPr="00FD1F6E">
        <w:rPr>
          <w:rFonts w:ascii="Times New Roman" w:hAnsi="Times New Roman" w:cs="Times New Roman"/>
          <w:sz w:val="24"/>
          <w:szCs w:val="24"/>
          <w:lang w:val="en-GB"/>
        </w:rPr>
        <w:t xml:space="preserve"> only two alternatives are possible: 1. the O</w:t>
      </w:r>
      <w:r w:rsidR="00A765F7" w:rsidRPr="00FD1F6E">
        <w:rPr>
          <w:rFonts w:ascii="Times New Roman" w:hAnsi="Times New Roman" w:cs="Times New Roman"/>
          <w:sz w:val="24"/>
          <w:szCs w:val="24"/>
          <w:lang w:val="en-GB"/>
        </w:rPr>
        <w:t>TP</w:t>
      </w:r>
      <w:r w:rsidRPr="00FD1F6E">
        <w:rPr>
          <w:rFonts w:ascii="Times New Roman" w:hAnsi="Times New Roman" w:cs="Times New Roman"/>
          <w:sz w:val="24"/>
          <w:szCs w:val="24"/>
          <w:lang w:val="en-GB"/>
        </w:rPr>
        <w:t xml:space="preserve"> considered the difference between tortures and outrages to be relevant in order </w:t>
      </w:r>
      <w:r w:rsidRPr="00FD1F6E">
        <w:rPr>
          <w:rFonts w:ascii="Times New Roman" w:hAnsi="Times New Roman" w:cs="Times New Roman"/>
          <w:sz w:val="24"/>
          <w:szCs w:val="24"/>
          <w:lang w:val="en-GB"/>
        </w:rPr>
        <w:lastRenderedPageBreak/>
        <w:t xml:space="preserve">to assess the gravity of the potential case (and this would be wrong and is contradicted by </w:t>
      </w:r>
      <w:r w:rsidR="002B4C98" w:rsidRPr="00FD1F6E">
        <w:rPr>
          <w:rFonts w:ascii="Times New Roman" w:hAnsi="Times New Roman" w:cs="Times New Roman"/>
          <w:sz w:val="24"/>
          <w:szCs w:val="24"/>
          <w:lang w:val="en-GB"/>
        </w:rPr>
        <w:t xml:space="preserve">the </w:t>
      </w:r>
      <w:r w:rsidRPr="00FD1F6E">
        <w:rPr>
          <w:rFonts w:ascii="Times New Roman" w:hAnsi="Times New Roman" w:cs="Times New Roman"/>
          <w:sz w:val="24"/>
          <w:szCs w:val="24"/>
          <w:lang w:val="en-GB"/>
        </w:rPr>
        <w:t>Response to the Application</w:t>
      </w:r>
      <w:r w:rsidR="00AD5720" w:rsidRPr="00FD1F6E">
        <w:rPr>
          <w:rFonts w:ascii="Times New Roman" w:hAnsi="Times New Roman" w:cs="Times New Roman"/>
          <w:sz w:val="24"/>
          <w:szCs w:val="24"/>
          <w:lang w:val="en-GB"/>
        </w:rPr>
        <w:t xml:space="preserve"> for Review</w:t>
      </w:r>
      <w:r w:rsidRPr="00FD1F6E">
        <w:rPr>
          <w:rFonts w:ascii="Times New Roman" w:hAnsi="Times New Roman" w:cs="Times New Roman"/>
          <w:sz w:val="24"/>
          <w:szCs w:val="24"/>
          <w:lang w:val="en-GB"/>
        </w:rPr>
        <w:t xml:space="preserve">); or 2. </w:t>
      </w:r>
      <w:r w:rsidR="00942A5D" w:rsidRPr="00FD1F6E">
        <w:rPr>
          <w:rFonts w:ascii="Times New Roman" w:hAnsi="Times New Roman" w:cs="Times New Roman"/>
          <w:sz w:val="24"/>
          <w:szCs w:val="24"/>
          <w:lang w:val="en-GB"/>
        </w:rPr>
        <w:t>a</w:t>
      </w:r>
      <w:r w:rsidRPr="00FD1F6E">
        <w:rPr>
          <w:rFonts w:ascii="Times New Roman" w:hAnsi="Times New Roman" w:cs="Times New Roman"/>
          <w:sz w:val="24"/>
          <w:szCs w:val="24"/>
          <w:lang w:val="en-GB"/>
        </w:rPr>
        <w:t xml:space="preserve"> plain enumeration of the crimes is not relevant in order to assess the gravity, and thus there is no reference at all to the nature of the crimes</w:t>
      </w:r>
      <w:r w:rsidR="00942A5D" w:rsidRPr="00FD1F6E">
        <w:rPr>
          <w:rFonts w:ascii="Times New Roman" w:hAnsi="Times New Roman" w:cs="Times New Roman"/>
          <w:sz w:val="24"/>
          <w:szCs w:val="24"/>
          <w:lang w:val="en-GB"/>
        </w:rPr>
        <w:t xml:space="preserve"> in the Decision Not to Investigate</w:t>
      </w:r>
      <w:r w:rsidRPr="00FD1F6E">
        <w:rPr>
          <w:rFonts w:ascii="Times New Roman" w:hAnsi="Times New Roman" w:cs="Times New Roman"/>
          <w:sz w:val="24"/>
          <w:szCs w:val="24"/>
          <w:lang w:val="en-GB"/>
        </w:rPr>
        <w:t xml:space="preserve">. </w:t>
      </w:r>
    </w:p>
    <w:p w:rsidR="00AA36D1" w:rsidRDefault="00AA36D1" w:rsidP="00CA0198">
      <w:pPr>
        <w:spacing w:after="0" w:line="360" w:lineRule="auto"/>
        <w:jc w:val="both"/>
        <w:rPr>
          <w:rFonts w:ascii="Times New Roman" w:hAnsi="Times New Roman" w:cs="Times New Roman"/>
          <w:sz w:val="24"/>
          <w:szCs w:val="24"/>
          <w:lang w:val="en-GB"/>
        </w:rPr>
      </w:pPr>
    </w:p>
    <w:p w:rsidR="00936979" w:rsidRPr="00FD1F6E" w:rsidRDefault="00936979"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Either way, the O</w:t>
      </w:r>
      <w:r w:rsidR="00A765F7" w:rsidRPr="00FD1F6E">
        <w:rPr>
          <w:rFonts w:ascii="Times New Roman" w:hAnsi="Times New Roman" w:cs="Times New Roman"/>
          <w:sz w:val="24"/>
          <w:szCs w:val="24"/>
          <w:lang w:val="en-GB"/>
        </w:rPr>
        <w:t>TP</w:t>
      </w:r>
      <w:r w:rsidRPr="00FD1F6E">
        <w:rPr>
          <w:rFonts w:ascii="Times New Roman" w:hAnsi="Times New Roman" w:cs="Times New Roman"/>
          <w:sz w:val="24"/>
          <w:szCs w:val="24"/>
          <w:lang w:val="en-GB"/>
        </w:rPr>
        <w:t xml:space="preserve"> should have better </w:t>
      </w:r>
      <w:r w:rsidR="00942A5D" w:rsidRPr="00FD1F6E">
        <w:rPr>
          <w:rFonts w:ascii="Times New Roman" w:hAnsi="Times New Roman" w:cs="Times New Roman"/>
          <w:sz w:val="24"/>
          <w:szCs w:val="24"/>
          <w:lang w:val="en-GB"/>
        </w:rPr>
        <w:t>explained</w:t>
      </w:r>
      <w:r w:rsidRPr="00FD1F6E">
        <w:rPr>
          <w:rFonts w:ascii="Times New Roman" w:hAnsi="Times New Roman" w:cs="Times New Roman"/>
          <w:sz w:val="24"/>
          <w:szCs w:val="24"/>
          <w:lang w:val="en-GB"/>
        </w:rPr>
        <w:t xml:space="preserve"> its assessment </w:t>
      </w:r>
      <w:r w:rsidR="00C3572F">
        <w:rPr>
          <w:rFonts w:ascii="Times New Roman" w:hAnsi="Times New Roman" w:cs="Times New Roman"/>
          <w:sz w:val="24"/>
          <w:szCs w:val="24"/>
          <w:lang w:val="en-GB"/>
        </w:rPr>
        <w:t>of</w:t>
      </w:r>
      <w:r w:rsidRPr="00FD1F6E">
        <w:rPr>
          <w:rFonts w:ascii="Times New Roman" w:hAnsi="Times New Roman" w:cs="Times New Roman"/>
          <w:sz w:val="24"/>
          <w:szCs w:val="24"/>
          <w:lang w:val="en-GB"/>
        </w:rPr>
        <w:t xml:space="preserve"> the element of the nature of the crimes. </w:t>
      </w:r>
    </w:p>
    <w:p w:rsidR="0067519B" w:rsidRPr="00FD1F6E" w:rsidRDefault="00233756"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  </w:t>
      </w:r>
    </w:p>
    <w:p w:rsidR="0067519B" w:rsidRPr="00FD1F6E" w:rsidRDefault="00650F36" w:rsidP="00CA0198">
      <w:pPr>
        <w:spacing w:after="0" w:line="360" w:lineRule="auto"/>
        <w:jc w:val="both"/>
        <w:rPr>
          <w:rFonts w:ascii="Times New Roman" w:hAnsi="Times New Roman" w:cs="Times New Roman"/>
          <w:b/>
          <w:sz w:val="24"/>
          <w:szCs w:val="24"/>
          <w:lang w:val="en-GB"/>
        </w:rPr>
      </w:pPr>
      <w:r w:rsidRPr="00FD1F6E">
        <w:rPr>
          <w:rFonts w:ascii="Times New Roman" w:hAnsi="Times New Roman" w:cs="Times New Roman"/>
          <w:b/>
          <w:sz w:val="24"/>
          <w:szCs w:val="24"/>
          <w:lang w:val="en-GB"/>
        </w:rPr>
        <w:t>6</w:t>
      </w:r>
      <w:r w:rsidR="007D464C" w:rsidRPr="00FD1F6E">
        <w:rPr>
          <w:rFonts w:ascii="Times New Roman" w:hAnsi="Times New Roman" w:cs="Times New Roman"/>
          <w:b/>
          <w:sz w:val="24"/>
          <w:szCs w:val="24"/>
          <w:lang w:val="en-GB"/>
        </w:rPr>
        <w:t xml:space="preserve">. </w:t>
      </w:r>
      <w:r w:rsidR="004D167C" w:rsidRPr="00FD1F6E">
        <w:rPr>
          <w:rFonts w:ascii="Times New Roman" w:hAnsi="Times New Roman" w:cs="Times New Roman"/>
          <w:b/>
          <w:sz w:val="24"/>
          <w:szCs w:val="24"/>
          <w:lang w:val="en-GB"/>
        </w:rPr>
        <w:t>Gravity as a Relative Concept</w:t>
      </w:r>
    </w:p>
    <w:p w:rsidR="00FB6980" w:rsidRPr="00FD1F6E" w:rsidRDefault="00FB6980" w:rsidP="00CA0198">
      <w:pPr>
        <w:spacing w:after="0" w:line="360" w:lineRule="auto"/>
        <w:jc w:val="both"/>
        <w:rPr>
          <w:rFonts w:ascii="Times New Roman" w:hAnsi="Times New Roman" w:cs="Times New Roman"/>
          <w:b/>
          <w:i/>
          <w:sz w:val="24"/>
          <w:szCs w:val="24"/>
          <w:lang w:val="en-GB"/>
        </w:rPr>
      </w:pPr>
      <w:r w:rsidRPr="00FD1F6E">
        <w:rPr>
          <w:rFonts w:ascii="Times New Roman" w:hAnsi="Times New Roman" w:cs="Times New Roman"/>
          <w:b/>
          <w:i/>
          <w:sz w:val="24"/>
          <w:szCs w:val="24"/>
          <w:lang w:val="en-GB"/>
        </w:rPr>
        <w:t>A. Preliminary Observations</w:t>
      </w:r>
    </w:p>
    <w:p w:rsidR="0067519B" w:rsidRDefault="00C22778"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T</w:t>
      </w:r>
      <w:r w:rsidR="00FB6980" w:rsidRPr="00FD1F6E">
        <w:rPr>
          <w:rFonts w:ascii="Times New Roman" w:hAnsi="Times New Roman" w:cs="Times New Roman"/>
          <w:sz w:val="24"/>
          <w:szCs w:val="24"/>
          <w:lang w:val="en-GB"/>
        </w:rPr>
        <w:t xml:space="preserve">his </w:t>
      </w:r>
      <w:r w:rsidR="00AD5720" w:rsidRPr="00FD1F6E">
        <w:rPr>
          <w:rFonts w:ascii="Times New Roman" w:hAnsi="Times New Roman" w:cs="Times New Roman"/>
          <w:sz w:val="24"/>
          <w:szCs w:val="24"/>
          <w:lang w:val="en-GB"/>
        </w:rPr>
        <w:t>sub-section</w:t>
      </w:r>
      <w:r w:rsidR="0067519B" w:rsidRPr="00FD1F6E">
        <w:rPr>
          <w:rFonts w:ascii="Times New Roman" w:hAnsi="Times New Roman" w:cs="Times New Roman"/>
          <w:sz w:val="24"/>
          <w:szCs w:val="24"/>
          <w:lang w:val="en-GB"/>
        </w:rPr>
        <w:t xml:space="preserve"> attempt</w:t>
      </w:r>
      <w:r w:rsidR="00FB6980" w:rsidRPr="00FD1F6E">
        <w:rPr>
          <w:rFonts w:ascii="Times New Roman" w:hAnsi="Times New Roman" w:cs="Times New Roman"/>
          <w:sz w:val="24"/>
          <w:szCs w:val="24"/>
          <w:lang w:val="en-GB"/>
        </w:rPr>
        <w:t>s</w:t>
      </w:r>
      <w:r w:rsidR="0067519B" w:rsidRPr="00FD1F6E">
        <w:rPr>
          <w:rFonts w:ascii="Times New Roman" w:hAnsi="Times New Roman" w:cs="Times New Roman"/>
          <w:sz w:val="24"/>
          <w:szCs w:val="24"/>
          <w:lang w:val="en-GB"/>
        </w:rPr>
        <w:t xml:space="preserve"> to demonstrate that the word </w:t>
      </w:r>
      <w:r w:rsidR="00942A5D" w:rsidRPr="00FD1F6E">
        <w:rPr>
          <w:rFonts w:ascii="Times New Roman" w:hAnsi="Times New Roman" w:cs="Times New Roman"/>
          <w:sz w:val="24"/>
          <w:szCs w:val="24"/>
          <w:lang w:val="en-GB"/>
        </w:rPr>
        <w:t>‘</w:t>
      </w:r>
      <w:r w:rsidR="0067519B" w:rsidRPr="00FD1F6E">
        <w:rPr>
          <w:rFonts w:ascii="Times New Roman" w:hAnsi="Times New Roman" w:cs="Times New Roman"/>
          <w:sz w:val="24"/>
          <w:szCs w:val="24"/>
          <w:lang w:val="en-GB"/>
        </w:rPr>
        <w:t>gravity</w:t>
      </w:r>
      <w:r w:rsidR="00942A5D" w:rsidRPr="00FD1F6E">
        <w:rPr>
          <w:rFonts w:ascii="Times New Roman" w:hAnsi="Times New Roman" w:cs="Times New Roman"/>
          <w:sz w:val="24"/>
          <w:szCs w:val="24"/>
          <w:lang w:val="en-GB"/>
        </w:rPr>
        <w:t>’</w:t>
      </w:r>
      <w:r w:rsidR="0067519B" w:rsidRPr="00FD1F6E">
        <w:rPr>
          <w:rFonts w:ascii="Times New Roman" w:hAnsi="Times New Roman" w:cs="Times New Roman"/>
          <w:sz w:val="24"/>
          <w:szCs w:val="24"/>
          <w:lang w:val="en-GB"/>
        </w:rPr>
        <w:t xml:space="preserve">, embodied in different provisions of the </w:t>
      </w:r>
      <w:r w:rsidR="001A5326" w:rsidRPr="00FD1F6E">
        <w:rPr>
          <w:rFonts w:ascii="Times New Roman" w:hAnsi="Times New Roman" w:cs="Times New Roman"/>
          <w:sz w:val="24"/>
          <w:szCs w:val="24"/>
          <w:lang w:val="en-GB"/>
        </w:rPr>
        <w:t>ICC</w:t>
      </w:r>
      <w:r w:rsidR="0067519B" w:rsidRPr="00FD1F6E">
        <w:rPr>
          <w:rFonts w:ascii="Times New Roman" w:hAnsi="Times New Roman" w:cs="Times New Roman"/>
          <w:sz w:val="24"/>
          <w:szCs w:val="24"/>
          <w:lang w:val="en-GB"/>
        </w:rPr>
        <w:t xml:space="preserve"> Statute, should not be interpreted in the same way</w:t>
      </w:r>
      <w:r w:rsidRPr="00FD1F6E">
        <w:rPr>
          <w:rFonts w:ascii="Times New Roman" w:hAnsi="Times New Roman" w:cs="Times New Roman"/>
          <w:sz w:val="24"/>
          <w:szCs w:val="24"/>
          <w:lang w:val="en-GB"/>
        </w:rPr>
        <w:t xml:space="preserve"> in all circumstances</w:t>
      </w:r>
      <w:r w:rsidR="0067519B" w:rsidRPr="00FD1F6E">
        <w:rPr>
          <w:rFonts w:ascii="Times New Roman" w:hAnsi="Times New Roman" w:cs="Times New Roman"/>
          <w:sz w:val="24"/>
          <w:szCs w:val="24"/>
          <w:lang w:val="en-GB"/>
        </w:rPr>
        <w:t xml:space="preserve">. </w:t>
      </w:r>
      <w:r w:rsidR="00942A5D" w:rsidRPr="00FD1F6E">
        <w:rPr>
          <w:rFonts w:ascii="Times New Roman" w:hAnsi="Times New Roman" w:cs="Times New Roman"/>
          <w:sz w:val="24"/>
          <w:szCs w:val="24"/>
          <w:lang w:val="en-GB"/>
        </w:rPr>
        <w:t>While</w:t>
      </w:r>
      <w:r w:rsidR="0067519B" w:rsidRPr="00FD1F6E">
        <w:rPr>
          <w:rFonts w:ascii="Times New Roman" w:hAnsi="Times New Roman" w:cs="Times New Roman"/>
          <w:sz w:val="24"/>
          <w:szCs w:val="24"/>
          <w:lang w:val="en-GB"/>
        </w:rPr>
        <w:t xml:space="preserve"> the </w:t>
      </w:r>
      <w:r w:rsidR="0067519B" w:rsidRPr="00AA36D1">
        <w:rPr>
          <w:rFonts w:ascii="Times New Roman" w:hAnsi="Times New Roman" w:cs="Times New Roman"/>
          <w:i/>
          <w:sz w:val="24"/>
          <w:szCs w:val="24"/>
          <w:lang w:val="en-GB"/>
        </w:rPr>
        <w:t>concept</w:t>
      </w:r>
      <w:r w:rsidR="0067519B" w:rsidRPr="00FD1F6E">
        <w:rPr>
          <w:rFonts w:ascii="Times New Roman" w:hAnsi="Times New Roman" w:cs="Times New Roman"/>
          <w:sz w:val="24"/>
          <w:szCs w:val="24"/>
          <w:lang w:val="en-GB"/>
        </w:rPr>
        <w:t xml:space="preserve"> of gravity is always the same, </w:t>
      </w:r>
      <w:r w:rsidR="00AA36D1">
        <w:rPr>
          <w:rFonts w:ascii="Times New Roman" w:hAnsi="Times New Roman" w:cs="Times New Roman"/>
          <w:sz w:val="24"/>
          <w:szCs w:val="24"/>
          <w:lang w:val="en-GB"/>
        </w:rPr>
        <w:t xml:space="preserve">its </w:t>
      </w:r>
      <w:r w:rsidR="00AA36D1" w:rsidRPr="00C61AE6">
        <w:rPr>
          <w:rFonts w:ascii="Times New Roman" w:hAnsi="Times New Roman" w:cs="Times New Roman"/>
          <w:i/>
          <w:sz w:val="24"/>
          <w:szCs w:val="24"/>
          <w:lang w:val="en-GB"/>
        </w:rPr>
        <w:t>application</w:t>
      </w:r>
      <w:r w:rsidR="00AA36D1">
        <w:rPr>
          <w:rFonts w:ascii="Times New Roman" w:hAnsi="Times New Roman" w:cs="Times New Roman"/>
          <w:sz w:val="24"/>
          <w:szCs w:val="24"/>
          <w:lang w:val="en-GB"/>
        </w:rPr>
        <w:t xml:space="preserve"> </w:t>
      </w:r>
      <w:r w:rsidR="008A4FEB" w:rsidRPr="00FD1F6E">
        <w:rPr>
          <w:rFonts w:ascii="Times New Roman" w:hAnsi="Times New Roman" w:cs="Times New Roman"/>
          <w:sz w:val="24"/>
          <w:szCs w:val="24"/>
          <w:lang w:val="en-GB"/>
        </w:rPr>
        <w:t xml:space="preserve">is </w:t>
      </w:r>
      <w:r w:rsidR="00AD5720" w:rsidRPr="00FD1F6E">
        <w:rPr>
          <w:rFonts w:ascii="Times New Roman" w:hAnsi="Times New Roman" w:cs="Times New Roman"/>
          <w:sz w:val="24"/>
          <w:szCs w:val="24"/>
          <w:lang w:val="en-GB"/>
        </w:rPr>
        <w:t>fact-sensitive</w:t>
      </w:r>
      <w:r w:rsidR="008A4FEB" w:rsidRPr="00FD1F6E">
        <w:rPr>
          <w:rFonts w:ascii="Times New Roman" w:hAnsi="Times New Roman" w:cs="Times New Roman"/>
          <w:sz w:val="24"/>
          <w:szCs w:val="24"/>
          <w:lang w:val="en-GB"/>
        </w:rPr>
        <w:t>. The ICC</w:t>
      </w:r>
      <w:r w:rsidR="00FB6980" w:rsidRPr="00FD1F6E">
        <w:rPr>
          <w:rFonts w:ascii="Times New Roman" w:hAnsi="Times New Roman" w:cs="Times New Roman"/>
          <w:sz w:val="24"/>
          <w:szCs w:val="24"/>
          <w:lang w:val="en-GB"/>
        </w:rPr>
        <w:t xml:space="preserve"> Statute does not provide</w:t>
      </w:r>
      <w:r w:rsidR="0067519B" w:rsidRPr="00FD1F6E">
        <w:rPr>
          <w:rFonts w:ascii="Times New Roman" w:hAnsi="Times New Roman" w:cs="Times New Roman"/>
          <w:sz w:val="24"/>
          <w:szCs w:val="24"/>
          <w:lang w:val="en-GB"/>
        </w:rPr>
        <w:t xml:space="preserve"> a definition</w:t>
      </w:r>
      <w:r w:rsidR="008A4FEB" w:rsidRPr="00FD1F6E">
        <w:rPr>
          <w:rFonts w:ascii="Times New Roman" w:hAnsi="Times New Roman" w:cs="Times New Roman"/>
          <w:sz w:val="24"/>
          <w:szCs w:val="24"/>
          <w:lang w:val="en-GB"/>
        </w:rPr>
        <w:t xml:space="preserve"> o</w:t>
      </w:r>
      <w:r w:rsidR="00FB6980" w:rsidRPr="00FD1F6E">
        <w:rPr>
          <w:rFonts w:ascii="Times New Roman" w:hAnsi="Times New Roman" w:cs="Times New Roman"/>
          <w:sz w:val="24"/>
          <w:szCs w:val="24"/>
          <w:lang w:val="en-GB"/>
        </w:rPr>
        <w:t>f</w:t>
      </w:r>
      <w:r w:rsidR="008A4FEB" w:rsidRPr="00FD1F6E">
        <w:rPr>
          <w:rFonts w:ascii="Times New Roman" w:hAnsi="Times New Roman" w:cs="Times New Roman"/>
          <w:sz w:val="24"/>
          <w:szCs w:val="24"/>
          <w:lang w:val="en-GB"/>
        </w:rPr>
        <w:t xml:space="preserve"> gravity;</w:t>
      </w:r>
      <w:r w:rsidR="00AF43BB" w:rsidRPr="00FD1F6E">
        <w:rPr>
          <w:rFonts w:ascii="Times New Roman" w:hAnsi="Times New Roman" w:cs="Times New Roman"/>
          <w:sz w:val="24"/>
          <w:szCs w:val="24"/>
          <w:lang w:val="en-GB"/>
        </w:rPr>
        <w:t xml:space="preserve"> consequently </w:t>
      </w:r>
      <w:r w:rsidR="0067519B" w:rsidRPr="00FD1F6E">
        <w:rPr>
          <w:rFonts w:ascii="Times New Roman" w:hAnsi="Times New Roman" w:cs="Times New Roman"/>
          <w:sz w:val="24"/>
          <w:szCs w:val="24"/>
          <w:lang w:val="en-GB"/>
        </w:rPr>
        <w:t xml:space="preserve">all the relevant rules on </w:t>
      </w:r>
      <w:r w:rsidR="008A4FEB" w:rsidRPr="00FD1F6E">
        <w:rPr>
          <w:rFonts w:ascii="Times New Roman" w:hAnsi="Times New Roman" w:cs="Times New Roman"/>
          <w:sz w:val="24"/>
          <w:szCs w:val="24"/>
          <w:lang w:val="en-GB"/>
        </w:rPr>
        <w:t xml:space="preserve">treaty </w:t>
      </w:r>
      <w:r w:rsidR="0067519B" w:rsidRPr="00FD1F6E">
        <w:rPr>
          <w:rFonts w:ascii="Times New Roman" w:hAnsi="Times New Roman" w:cs="Times New Roman"/>
          <w:sz w:val="24"/>
          <w:szCs w:val="24"/>
          <w:lang w:val="en-GB"/>
        </w:rPr>
        <w:t>interpretation</w:t>
      </w:r>
      <w:r w:rsidR="009B1F08" w:rsidRPr="00FD1F6E">
        <w:rPr>
          <w:rFonts w:ascii="Times New Roman" w:hAnsi="Times New Roman" w:cs="Times New Roman"/>
          <w:sz w:val="24"/>
          <w:szCs w:val="24"/>
          <w:lang w:val="en-GB"/>
        </w:rPr>
        <w:t xml:space="preserve"> should be taken into account</w:t>
      </w:r>
      <w:r w:rsidR="008A4FEB" w:rsidRPr="00FD1F6E">
        <w:rPr>
          <w:rFonts w:ascii="Times New Roman" w:hAnsi="Times New Roman" w:cs="Times New Roman"/>
          <w:sz w:val="24"/>
          <w:szCs w:val="24"/>
          <w:lang w:val="en-GB"/>
        </w:rPr>
        <w:t xml:space="preserve"> in order to provide </w:t>
      </w:r>
      <w:r w:rsidR="00AF43BB" w:rsidRPr="00FD1F6E">
        <w:rPr>
          <w:rFonts w:ascii="Times New Roman" w:hAnsi="Times New Roman" w:cs="Times New Roman"/>
          <w:sz w:val="24"/>
          <w:szCs w:val="24"/>
          <w:lang w:val="en-GB"/>
        </w:rPr>
        <w:t>guidance in the assessment of whether a potential case has</w:t>
      </w:r>
      <w:r w:rsidR="008A4FEB" w:rsidRPr="00FD1F6E">
        <w:rPr>
          <w:rFonts w:ascii="Times New Roman" w:hAnsi="Times New Roman" w:cs="Times New Roman"/>
          <w:sz w:val="24"/>
          <w:szCs w:val="24"/>
          <w:lang w:val="en-GB"/>
        </w:rPr>
        <w:t xml:space="preserve"> sufficient gravity</w:t>
      </w:r>
      <w:r w:rsidR="0067519B" w:rsidRPr="00FD1F6E">
        <w:rPr>
          <w:rFonts w:ascii="Times New Roman" w:hAnsi="Times New Roman" w:cs="Times New Roman"/>
          <w:sz w:val="24"/>
          <w:szCs w:val="24"/>
          <w:lang w:val="en-GB"/>
        </w:rPr>
        <w:t>.</w:t>
      </w:r>
    </w:p>
    <w:p w:rsidR="00AA36D1" w:rsidRPr="00FD1F6E" w:rsidRDefault="00AA36D1" w:rsidP="00CA0198">
      <w:pPr>
        <w:spacing w:after="0" w:line="360" w:lineRule="auto"/>
        <w:jc w:val="both"/>
        <w:rPr>
          <w:rFonts w:ascii="Times New Roman" w:hAnsi="Times New Roman" w:cs="Times New Roman"/>
          <w:sz w:val="24"/>
          <w:szCs w:val="24"/>
          <w:lang w:val="en-GB"/>
        </w:rPr>
      </w:pPr>
    </w:p>
    <w:p w:rsidR="0067519B" w:rsidRDefault="00AD5720"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T</w:t>
      </w:r>
      <w:r w:rsidR="0067519B" w:rsidRPr="00FD1F6E">
        <w:rPr>
          <w:rFonts w:ascii="Times New Roman" w:hAnsi="Times New Roman" w:cs="Times New Roman"/>
          <w:sz w:val="24"/>
          <w:szCs w:val="24"/>
          <w:lang w:val="en-GB"/>
        </w:rPr>
        <w:t xml:space="preserve">he </w:t>
      </w:r>
      <w:r w:rsidR="001A5326" w:rsidRPr="00FD1F6E">
        <w:rPr>
          <w:rFonts w:ascii="Times New Roman" w:hAnsi="Times New Roman" w:cs="Times New Roman"/>
          <w:sz w:val="24"/>
          <w:szCs w:val="24"/>
          <w:lang w:val="en-GB"/>
        </w:rPr>
        <w:t>ICC</w:t>
      </w:r>
      <w:r w:rsidR="0067519B" w:rsidRPr="00FD1F6E">
        <w:rPr>
          <w:rFonts w:ascii="Times New Roman" w:hAnsi="Times New Roman" w:cs="Times New Roman"/>
          <w:sz w:val="24"/>
          <w:szCs w:val="24"/>
          <w:lang w:val="en-GB"/>
        </w:rPr>
        <w:t xml:space="preserve"> Statute </w:t>
      </w:r>
      <w:r w:rsidR="009B1F08" w:rsidRPr="00FD1F6E">
        <w:rPr>
          <w:rFonts w:ascii="Times New Roman" w:hAnsi="Times New Roman" w:cs="Times New Roman"/>
          <w:sz w:val="24"/>
          <w:szCs w:val="24"/>
          <w:lang w:val="en-GB"/>
        </w:rPr>
        <w:t>is</w:t>
      </w:r>
      <w:r w:rsidR="0067519B" w:rsidRPr="00FD1F6E">
        <w:rPr>
          <w:rFonts w:ascii="Times New Roman" w:hAnsi="Times New Roman" w:cs="Times New Roman"/>
          <w:sz w:val="24"/>
          <w:szCs w:val="24"/>
          <w:lang w:val="en-GB"/>
        </w:rPr>
        <w:t xml:space="preserve"> subject to the international rules on treaty interpretation</w:t>
      </w:r>
      <w:r w:rsidR="009B1F08" w:rsidRPr="00FD1F6E">
        <w:rPr>
          <w:rFonts w:ascii="Times New Roman" w:hAnsi="Times New Roman" w:cs="Times New Roman"/>
          <w:sz w:val="24"/>
          <w:szCs w:val="24"/>
          <w:lang w:val="en-GB"/>
        </w:rPr>
        <w:t xml:space="preserve"> codified by the </w:t>
      </w:r>
      <w:r w:rsidR="002A790B" w:rsidRPr="00FD1F6E">
        <w:rPr>
          <w:rFonts w:ascii="Times New Roman" w:hAnsi="Times New Roman" w:cs="Times New Roman"/>
          <w:sz w:val="24"/>
          <w:szCs w:val="24"/>
          <w:lang w:val="en-GB"/>
        </w:rPr>
        <w:t xml:space="preserve">1969 </w:t>
      </w:r>
      <w:r w:rsidR="009B1F08" w:rsidRPr="00FD1F6E">
        <w:rPr>
          <w:rFonts w:ascii="Times New Roman" w:hAnsi="Times New Roman" w:cs="Times New Roman"/>
          <w:sz w:val="24"/>
          <w:szCs w:val="24"/>
          <w:lang w:val="en-GB"/>
        </w:rPr>
        <w:t>V</w:t>
      </w:r>
      <w:r w:rsidR="005A6A5A" w:rsidRPr="00FD1F6E">
        <w:rPr>
          <w:rFonts w:ascii="Times New Roman" w:hAnsi="Times New Roman" w:cs="Times New Roman"/>
          <w:sz w:val="24"/>
          <w:szCs w:val="24"/>
          <w:lang w:val="en-GB"/>
        </w:rPr>
        <w:t xml:space="preserve">ienna </w:t>
      </w:r>
      <w:r w:rsidR="009B1F08" w:rsidRPr="00FD1F6E">
        <w:rPr>
          <w:rFonts w:ascii="Times New Roman" w:hAnsi="Times New Roman" w:cs="Times New Roman"/>
          <w:sz w:val="24"/>
          <w:szCs w:val="24"/>
          <w:lang w:val="en-GB"/>
        </w:rPr>
        <w:t>C</w:t>
      </w:r>
      <w:r w:rsidR="005A6A5A" w:rsidRPr="00FD1F6E">
        <w:rPr>
          <w:rFonts w:ascii="Times New Roman" w:hAnsi="Times New Roman" w:cs="Times New Roman"/>
          <w:sz w:val="24"/>
          <w:szCs w:val="24"/>
          <w:lang w:val="en-GB"/>
        </w:rPr>
        <w:t xml:space="preserve">onvention on the </w:t>
      </w:r>
      <w:r w:rsidR="009B1F08" w:rsidRPr="00FD1F6E">
        <w:rPr>
          <w:rFonts w:ascii="Times New Roman" w:hAnsi="Times New Roman" w:cs="Times New Roman"/>
          <w:sz w:val="24"/>
          <w:szCs w:val="24"/>
          <w:lang w:val="en-GB"/>
        </w:rPr>
        <w:t>L</w:t>
      </w:r>
      <w:r w:rsidR="005A6A5A" w:rsidRPr="00FD1F6E">
        <w:rPr>
          <w:rFonts w:ascii="Times New Roman" w:hAnsi="Times New Roman" w:cs="Times New Roman"/>
          <w:sz w:val="24"/>
          <w:szCs w:val="24"/>
          <w:lang w:val="en-GB"/>
        </w:rPr>
        <w:t xml:space="preserve">aw of </w:t>
      </w:r>
      <w:r w:rsidR="009B1F08" w:rsidRPr="00FD1F6E">
        <w:rPr>
          <w:rFonts w:ascii="Times New Roman" w:hAnsi="Times New Roman" w:cs="Times New Roman"/>
          <w:sz w:val="24"/>
          <w:szCs w:val="24"/>
          <w:lang w:val="en-GB"/>
        </w:rPr>
        <w:t>T</w:t>
      </w:r>
      <w:r w:rsidR="005A6A5A" w:rsidRPr="00FD1F6E">
        <w:rPr>
          <w:rFonts w:ascii="Times New Roman" w:hAnsi="Times New Roman" w:cs="Times New Roman"/>
          <w:sz w:val="24"/>
          <w:szCs w:val="24"/>
          <w:lang w:val="en-GB"/>
        </w:rPr>
        <w:t>reaties (‘VCLT’)</w:t>
      </w:r>
      <w:r w:rsidR="00C4297A" w:rsidRPr="00FD1F6E">
        <w:rPr>
          <w:rFonts w:ascii="Times New Roman" w:hAnsi="Times New Roman" w:cs="Times New Roman"/>
          <w:sz w:val="24"/>
          <w:szCs w:val="24"/>
          <w:lang w:val="en-GB"/>
        </w:rPr>
        <w:t>, according to which a treaty must be interpreted in good faith and in light of its text, context, object and purpose</w:t>
      </w:r>
      <w:r w:rsidR="0067519B" w:rsidRPr="00FD1F6E">
        <w:rPr>
          <w:rFonts w:ascii="Times New Roman" w:hAnsi="Times New Roman" w:cs="Times New Roman"/>
          <w:sz w:val="24"/>
          <w:szCs w:val="24"/>
          <w:lang w:val="en-GB"/>
        </w:rPr>
        <w:t>.</w:t>
      </w:r>
      <w:r w:rsidR="009B1F08" w:rsidRPr="00FD1F6E">
        <w:rPr>
          <w:rStyle w:val="Rimandonotaapidipagina"/>
          <w:rFonts w:ascii="Times New Roman" w:hAnsi="Times New Roman" w:cs="Times New Roman"/>
          <w:sz w:val="24"/>
          <w:szCs w:val="24"/>
          <w:lang w:val="en-GB"/>
        </w:rPr>
        <w:footnoteReference w:id="58"/>
      </w:r>
      <w:r w:rsidR="009B1F08" w:rsidRPr="00FD1F6E">
        <w:rPr>
          <w:rFonts w:ascii="Times New Roman" w:hAnsi="Times New Roman" w:cs="Times New Roman"/>
          <w:sz w:val="24"/>
          <w:szCs w:val="24"/>
          <w:lang w:val="en-GB"/>
        </w:rPr>
        <w:t xml:space="preserve"> </w:t>
      </w:r>
      <w:r w:rsidR="00FB6980" w:rsidRPr="00FD1F6E">
        <w:rPr>
          <w:rFonts w:ascii="Times New Roman" w:hAnsi="Times New Roman" w:cs="Times New Roman"/>
          <w:sz w:val="24"/>
          <w:szCs w:val="24"/>
          <w:lang w:val="en-GB"/>
        </w:rPr>
        <w:t>The ICC case law has constantly endorsed the application of the VCLT</w:t>
      </w:r>
      <w:r w:rsidR="005A6A5A" w:rsidRPr="00FD1F6E">
        <w:rPr>
          <w:rFonts w:ascii="Times New Roman" w:hAnsi="Times New Roman" w:cs="Times New Roman"/>
          <w:sz w:val="24"/>
          <w:szCs w:val="24"/>
          <w:lang w:val="en-GB"/>
        </w:rPr>
        <w:t xml:space="preserve"> rules on treaty interpretation to the ICC Statute</w:t>
      </w:r>
      <w:r w:rsidR="00FB6980" w:rsidRPr="00FD1F6E">
        <w:rPr>
          <w:rFonts w:ascii="Times New Roman" w:hAnsi="Times New Roman" w:cs="Times New Roman"/>
          <w:sz w:val="24"/>
          <w:szCs w:val="24"/>
          <w:lang w:val="en-GB"/>
        </w:rPr>
        <w:t>,</w:t>
      </w:r>
      <w:r w:rsidR="00FB6980" w:rsidRPr="00FD1F6E">
        <w:rPr>
          <w:rStyle w:val="Rimandonotaapidipagina"/>
          <w:rFonts w:ascii="Times New Roman" w:hAnsi="Times New Roman" w:cs="Times New Roman"/>
          <w:sz w:val="24"/>
          <w:szCs w:val="24"/>
          <w:lang w:val="en-GB"/>
        </w:rPr>
        <w:footnoteReference w:id="59"/>
      </w:r>
      <w:r w:rsidR="00FB6980" w:rsidRPr="00FD1F6E">
        <w:rPr>
          <w:rFonts w:ascii="Times New Roman" w:hAnsi="Times New Roman" w:cs="Times New Roman"/>
          <w:sz w:val="24"/>
          <w:szCs w:val="24"/>
          <w:lang w:val="en-GB"/>
        </w:rPr>
        <w:t xml:space="preserve"> notwithstanding the fact that the </w:t>
      </w:r>
      <w:r w:rsidR="00AA36D1">
        <w:rPr>
          <w:rFonts w:ascii="Times New Roman" w:hAnsi="Times New Roman" w:cs="Times New Roman"/>
          <w:sz w:val="24"/>
          <w:szCs w:val="24"/>
          <w:lang w:val="en-GB"/>
        </w:rPr>
        <w:t xml:space="preserve">definitions </w:t>
      </w:r>
      <w:r w:rsidR="00AA36D1">
        <w:rPr>
          <w:rFonts w:ascii="Times New Roman" w:hAnsi="Times New Roman" w:cs="Times New Roman"/>
          <w:sz w:val="24"/>
          <w:szCs w:val="24"/>
          <w:lang w:val="en-GB"/>
        </w:rPr>
        <w:lastRenderedPageBreak/>
        <w:t xml:space="preserve">of the crimes in the </w:t>
      </w:r>
      <w:r w:rsidR="00FB6980" w:rsidRPr="00FD1F6E">
        <w:rPr>
          <w:rFonts w:ascii="Times New Roman" w:hAnsi="Times New Roman" w:cs="Times New Roman"/>
          <w:sz w:val="24"/>
          <w:szCs w:val="24"/>
          <w:lang w:val="en-GB"/>
        </w:rPr>
        <w:t>ICC Statute</w:t>
      </w:r>
      <w:r w:rsidR="00AA36D1">
        <w:rPr>
          <w:rFonts w:ascii="Times New Roman" w:hAnsi="Times New Roman" w:cs="Times New Roman"/>
          <w:sz w:val="24"/>
          <w:szCs w:val="24"/>
          <w:lang w:val="en-GB"/>
        </w:rPr>
        <w:t>, as a criminal law,</w:t>
      </w:r>
      <w:r w:rsidR="00AA36D1" w:rsidRPr="00FD1F6E">
        <w:rPr>
          <w:rFonts w:ascii="Times New Roman" w:hAnsi="Times New Roman" w:cs="Times New Roman"/>
          <w:sz w:val="24"/>
          <w:szCs w:val="24"/>
          <w:lang w:val="en-GB"/>
        </w:rPr>
        <w:t xml:space="preserve"> </w:t>
      </w:r>
      <w:r w:rsidR="00AA36D1">
        <w:rPr>
          <w:rFonts w:ascii="Times New Roman" w:hAnsi="Times New Roman" w:cs="Times New Roman"/>
          <w:sz w:val="24"/>
          <w:szCs w:val="24"/>
          <w:lang w:val="en-GB"/>
        </w:rPr>
        <w:t>must in case of ambiguity be construed strictly (as affirmed in Article 22)</w:t>
      </w:r>
      <w:r w:rsidR="00FB6980" w:rsidRPr="00FD1F6E">
        <w:rPr>
          <w:rFonts w:ascii="Times New Roman" w:hAnsi="Times New Roman" w:cs="Times New Roman"/>
          <w:sz w:val="24"/>
          <w:szCs w:val="24"/>
          <w:lang w:val="en-GB"/>
        </w:rPr>
        <w:t>.</w:t>
      </w:r>
      <w:r w:rsidR="00FB6980" w:rsidRPr="00FD1F6E">
        <w:rPr>
          <w:rStyle w:val="Rimandonotaapidipagina"/>
          <w:rFonts w:ascii="Times New Roman" w:hAnsi="Times New Roman" w:cs="Times New Roman"/>
          <w:sz w:val="24"/>
          <w:szCs w:val="24"/>
          <w:lang w:val="en-GB"/>
        </w:rPr>
        <w:footnoteReference w:id="60"/>
      </w:r>
      <w:r w:rsidR="00FB6980" w:rsidRPr="00FD1F6E">
        <w:rPr>
          <w:rFonts w:ascii="Times New Roman" w:hAnsi="Times New Roman" w:cs="Times New Roman"/>
          <w:sz w:val="24"/>
          <w:szCs w:val="24"/>
          <w:lang w:val="en-GB"/>
        </w:rPr>
        <w:t xml:space="preserve"> </w:t>
      </w:r>
      <w:r w:rsidR="00AA36D1">
        <w:rPr>
          <w:rFonts w:ascii="Times New Roman" w:hAnsi="Times New Roman" w:cs="Times New Roman"/>
          <w:sz w:val="24"/>
          <w:szCs w:val="24"/>
          <w:lang w:val="en-GB"/>
        </w:rPr>
        <w:t>E</w:t>
      </w:r>
      <w:r w:rsidR="00BA4270" w:rsidRPr="00FD1F6E">
        <w:rPr>
          <w:rFonts w:ascii="Times New Roman" w:hAnsi="Times New Roman" w:cs="Times New Roman"/>
          <w:sz w:val="24"/>
          <w:szCs w:val="24"/>
          <w:lang w:val="en-GB"/>
        </w:rPr>
        <w:t>very ICC organ</w:t>
      </w:r>
      <w:r w:rsidR="00C22778" w:rsidRPr="00FD1F6E">
        <w:rPr>
          <w:rFonts w:ascii="Times New Roman" w:hAnsi="Times New Roman" w:cs="Times New Roman"/>
          <w:sz w:val="24"/>
          <w:szCs w:val="24"/>
          <w:lang w:val="en-GB"/>
        </w:rPr>
        <w:t>,</w:t>
      </w:r>
      <w:r w:rsidR="008A4FEB" w:rsidRPr="00FD1F6E">
        <w:rPr>
          <w:rFonts w:ascii="Times New Roman" w:hAnsi="Times New Roman" w:cs="Times New Roman"/>
          <w:sz w:val="24"/>
          <w:szCs w:val="24"/>
          <w:lang w:val="en-GB"/>
        </w:rPr>
        <w:t xml:space="preserve"> </w:t>
      </w:r>
      <w:r w:rsidR="00AA36D1">
        <w:rPr>
          <w:rFonts w:ascii="Times New Roman" w:hAnsi="Times New Roman" w:cs="Times New Roman"/>
          <w:sz w:val="24"/>
          <w:szCs w:val="24"/>
          <w:lang w:val="en-GB"/>
        </w:rPr>
        <w:t xml:space="preserve">including </w:t>
      </w:r>
      <w:r w:rsidR="008A4FEB" w:rsidRPr="00FD1F6E">
        <w:rPr>
          <w:rFonts w:ascii="Times New Roman" w:hAnsi="Times New Roman" w:cs="Times New Roman"/>
          <w:sz w:val="24"/>
          <w:szCs w:val="24"/>
          <w:lang w:val="en-GB"/>
        </w:rPr>
        <w:t>the O</w:t>
      </w:r>
      <w:r w:rsidR="005A6A5A" w:rsidRPr="00FD1F6E">
        <w:rPr>
          <w:rFonts w:ascii="Times New Roman" w:hAnsi="Times New Roman" w:cs="Times New Roman"/>
          <w:sz w:val="24"/>
          <w:szCs w:val="24"/>
          <w:lang w:val="en-GB"/>
        </w:rPr>
        <w:t>TP</w:t>
      </w:r>
      <w:r w:rsidR="00C22778" w:rsidRPr="00FD1F6E">
        <w:rPr>
          <w:rFonts w:ascii="Times New Roman" w:hAnsi="Times New Roman" w:cs="Times New Roman"/>
          <w:sz w:val="24"/>
          <w:szCs w:val="24"/>
          <w:lang w:val="en-GB"/>
        </w:rPr>
        <w:t xml:space="preserve">, </w:t>
      </w:r>
      <w:r w:rsidR="00BA4270" w:rsidRPr="00FD1F6E">
        <w:rPr>
          <w:rFonts w:ascii="Times New Roman" w:hAnsi="Times New Roman" w:cs="Times New Roman"/>
          <w:sz w:val="24"/>
          <w:szCs w:val="24"/>
          <w:lang w:val="en-GB"/>
        </w:rPr>
        <w:t xml:space="preserve">must interpret the </w:t>
      </w:r>
      <w:r w:rsidR="001A5326" w:rsidRPr="00FD1F6E">
        <w:rPr>
          <w:rFonts w:ascii="Times New Roman" w:hAnsi="Times New Roman" w:cs="Times New Roman"/>
          <w:sz w:val="24"/>
          <w:szCs w:val="24"/>
          <w:lang w:val="en-GB"/>
        </w:rPr>
        <w:t>ICC</w:t>
      </w:r>
      <w:r w:rsidR="00BA4270" w:rsidRPr="00FD1F6E">
        <w:rPr>
          <w:rFonts w:ascii="Times New Roman" w:hAnsi="Times New Roman" w:cs="Times New Roman"/>
          <w:sz w:val="24"/>
          <w:szCs w:val="24"/>
          <w:lang w:val="en-GB"/>
        </w:rPr>
        <w:t xml:space="preserve"> Statute in light of the Vienna criteria</w:t>
      </w:r>
      <w:r w:rsidR="00C22778" w:rsidRPr="00FD1F6E">
        <w:rPr>
          <w:rFonts w:ascii="Times New Roman" w:hAnsi="Times New Roman" w:cs="Times New Roman"/>
          <w:sz w:val="24"/>
          <w:szCs w:val="24"/>
          <w:lang w:val="en-GB"/>
        </w:rPr>
        <w:t>.</w:t>
      </w:r>
    </w:p>
    <w:p w:rsidR="00AA36D1" w:rsidRDefault="00AA36D1" w:rsidP="00CA0198">
      <w:pPr>
        <w:spacing w:after="0" w:line="360" w:lineRule="auto"/>
        <w:jc w:val="both"/>
        <w:rPr>
          <w:rFonts w:ascii="Times New Roman" w:hAnsi="Times New Roman" w:cs="Times New Roman"/>
          <w:sz w:val="24"/>
          <w:szCs w:val="24"/>
          <w:lang w:val="en-GB"/>
        </w:rPr>
      </w:pPr>
    </w:p>
    <w:p w:rsidR="00982A7E" w:rsidRPr="00FD1F6E" w:rsidRDefault="00AA36D1" w:rsidP="00982A7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Using these principles as a foundation</w:t>
      </w:r>
      <w:r w:rsidR="00B552BA" w:rsidRPr="00FD1F6E">
        <w:rPr>
          <w:rFonts w:ascii="Times New Roman" w:hAnsi="Times New Roman" w:cs="Times New Roman"/>
          <w:sz w:val="24"/>
          <w:szCs w:val="24"/>
          <w:lang w:val="en-GB"/>
        </w:rPr>
        <w:t xml:space="preserve">, it is possible to </w:t>
      </w:r>
      <w:r w:rsidR="00E5577E" w:rsidRPr="00FD1F6E">
        <w:rPr>
          <w:rFonts w:ascii="Times New Roman" w:hAnsi="Times New Roman" w:cs="Times New Roman"/>
          <w:sz w:val="24"/>
          <w:szCs w:val="24"/>
          <w:lang w:val="en-GB"/>
        </w:rPr>
        <w:t xml:space="preserve">advance </w:t>
      </w:r>
      <w:r w:rsidR="00A90A1F" w:rsidRPr="00FD1F6E">
        <w:rPr>
          <w:rFonts w:ascii="Times New Roman" w:hAnsi="Times New Roman" w:cs="Times New Roman"/>
          <w:sz w:val="24"/>
          <w:szCs w:val="24"/>
          <w:lang w:val="en-GB"/>
        </w:rPr>
        <w:t xml:space="preserve">two </w:t>
      </w:r>
      <w:r w:rsidR="00E5577E" w:rsidRPr="00FD1F6E">
        <w:rPr>
          <w:rFonts w:ascii="Times New Roman" w:hAnsi="Times New Roman" w:cs="Times New Roman"/>
          <w:sz w:val="24"/>
          <w:szCs w:val="24"/>
          <w:lang w:val="en-GB"/>
        </w:rPr>
        <w:t>novel arguments regarding the assessment of gravity</w:t>
      </w:r>
      <w:r w:rsidR="00C3572F">
        <w:rPr>
          <w:rFonts w:ascii="Times New Roman" w:hAnsi="Times New Roman" w:cs="Times New Roman"/>
          <w:sz w:val="24"/>
          <w:szCs w:val="24"/>
          <w:lang w:val="en-GB"/>
        </w:rPr>
        <w:t xml:space="preserve"> that may</w:t>
      </w:r>
      <w:r w:rsidR="00E5577E" w:rsidRPr="00FD1F6E">
        <w:rPr>
          <w:rFonts w:ascii="Times New Roman" w:hAnsi="Times New Roman" w:cs="Times New Roman"/>
          <w:sz w:val="24"/>
          <w:szCs w:val="24"/>
          <w:lang w:val="en-GB"/>
        </w:rPr>
        <w:t xml:space="preserve"> be relevant in the </w:t>
      </w:r>
      <w:r w:rsidR="00E5577E" w:rsidRPr="00FD1F6E">
        <w:rPr>
          <w:rFonts w:ascii="Times New Roman" w:hAnsi="Times New Roman" w:cs="Times New Roman"/>
          <w:i/>
          <w:sz w:val="24"/>
          <w:szCs w:val="24"/>
          <w:lang w:val="en-GB"/>
        </w:rPr>
        <w:t>Mavi Marmara</w:t>
      </w:r>
      <w:r>
        <w:rPr>
          <w:rFonts w:ascii="Times New Roman" w:hAnsi="Times New Roman" w:cs="Times New Roman"/>
          <w:sz w:val="24"/>
          <w:szCs w:val="24"/>
          <w:lang w:val="en-GB"/>
        </w:rPr>
        <w:t xml:space="preserve"> affair</w:t>
      </w:r>
      <w:r w:rsidR="00E5577E" w:rsidRPr="00FD1F6E">
        <w:rPr>
          <w:rFonts w:ascii="Times New Roman" w:hAnsi="Times New Roman" w:cs="Times New Roman"/>
          <w:sz w:val="24"/>
          <w:szCs w:val="24"/>
          <w:lang w:val="en-GB"/>
        </w:rPr>
        <w:t xml:space="preserve">. </w:t>
      </w:r>
      <w:r w:rsidR="00982A7E">
        <w:rPr>
          <w:rFonts w:ascii="Times New Roman" w:hAnsi="Times New Roman" w:cs="Times New Roman"/>
          <w:sz w:val="24"/>
          <w:szCs w:val="24"/>
          <w:lang w:val="en-GB"/>
        </w:rPr>
        <w:t>These arguments</w:t>
      </w:r>
      <w:r w:rsidR="00982A7E" w:rsidRPr="00FD1F6E">
        <w:rPr>
          <w:rFonts w:ascii="Times New Roman" w:hAnsi="Times New Roman" w:cs="Times New Roman"/>
          <w:sz w:val="24"/>
          <w:szCs w:val="24"/>
          <w:lang w:val="en-GB"/>
        </w:rPr>
        <w:t xml:space="preserve"> are not definitive, but </w:t>
      </w:r>
      <w:r w:rsidR="00982A7E">
        <w:rPr>
          <w:rFonts w:ascii="Times New Roman" w:hAnsi="Times New Roman" w:cs="Times New Roman"/>
          <w:sz w:val="24"/>
          <w:szCs w:val="24"/>
          <w:lang w:val="en-GB"/>
        </w:rPr>
        <w:t>merely</w:t>
      </w:r>
      <w:r w:rsidR="00982A7E" w:rsidRPr="00FD1F6E">
        <w:rPr>
          <w:rFonts w:ascii="Times New Roman" w:hAnsi="Times New Roman" w:cs="Times New Roman"/>
          <w:sz w:val="24"/>
          <w:szCs w:val="24"/>
          <w:lang w:val="en-GB"/>
        </w:rPr>
        <w:t xml:space="preserve"> </w:t>
      </w:r>
      <w:r w:rsidR="00982A7E">
        <w:rPr>
          <w:rFonts w:ascii="Times New Roman" w:hAnsi="Times New Roman" w:cs="Times New Roman"/>
          <w:sz w:val="24"/>
          <w:szCs w:val="24"/>
          <w:lang w:val="en-GB"/>
        </w:rPr>
        <w:t>a proposal for</w:t>
      </w:r>
      <w:r w:rsidR="00982A7E" w:rsidRPr="00FD1F6E">
        <w:rPr>
          <w:rFonts w:ascii="Times New Roman" w:hAnsi="Times New Roman" w:cs="Times New Roman"/>
          <w:sz w:val="24"/>
          <w:szCs w:val="24"/>
          <w:lang w:val="en-GB"/>
        </w:rPr>
        <w:t xml:space="preserve"> further analysis and judicial confirmation in the future.</w:t>
      </w:r>
    </w:p>
    <w:p w:rsidR="00C85967" w:rsidRPr="00FD1F6E" w:rsidRDefault="00C85967" w:rsidP="00CA0198">
      <w:pPr>
        <w:spacing w:after="0" w:line="360" w:lineRule="auto"/>
        <w:jc w:val="both"/>
        <w:rPr>
          <w:rFonts w:ascii="Times New Roman" w:hAnsi="Times New Roman" w:cs="Times New Roman"/>
          <w:sz w:val="24"/>
          <w:szCs w:val="24"/>
          <w:lang w:val="en-GB"/>
        </w:rPr>
      </w:pPr>
    </w:p>
    <w:p w:rsidR="00233756" w:rsidRPr="00FD1F6E" w:rsidRDefault="00FB6980" w:rsidP="00CA0198">
      <w:pPr>
        <w:spacing w:after="0" w:line="360" w:lineRule="auto"/>
        <w:jc w:val="both"/>
        <w:rPr>
          <w:rFonts w:ascii="Times New Roman" w:hAnsi="Times New Roman" w:cs="Times New Roman"/>
          <w:b/>
          <w:i/>
          <w:sz w:val="24"/>
          <w:szCs w:val="24"/>
          <w:lang w:val="en-GB"/>
        </w:rPr>
      </w:pPr>
      <w:r w:rsidRPr="00FD1F6E">
        <w:rPr>
          <w:rFonts w:ascii="Times New Roman" w:hAnsi="Times New Roman" w:cs="Times New Roman"/>
          <w:b/>
          <w:i/>
          <w:sz w:val="24"/>
          <w:szCs w:val="24"/>
          <w:lang w:val="en-GB"/>
        </w:rPr>
        <w:t>B</w:t>
      </w:r>
      <w:r w:rsidR="00370F1B" w:rsidRPr="00FD1F6E">
        <w:rPr>
          <w:rFonts w:ascii="Times New Roman" w:hAnsi="Times New Roman" w:cs="Times New Roman"/>
          <w:b/>
          <w:i/>
          <w:sz w:val="24"/>
          <w:szCs w:val="24"/>
          <w:lang w:val="en-GB"/>
        </w:rPr>
        <w:t>. The Assessment of Sufficient Gravity during Preliminary Examinations</w:t>
      </w:r>
    </w:p>
    <w:p w:rsidR="00D808EE" w:rsidRDefault="00547BE7" w:rsidP="00D808EE">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Th</w:t>
      </w:r>
      <w:r w:rsidR="009B1F08" w:rsidRPr="00FD1F6E">
        <w:rPr>
          <w:rFonts w:ascii="Times New Roman" w:hAnsi="Times New Roman" w:cs="Times New Roman"/>
          <w:sz w:val="24"/>
          <w:szCs w:val="24"/>
          <w:lang w:val="en-GB"/>
        </w:rPr>
        <w:t>e</w:t>
      </w:r>
      <w:r w:rsidR="00B43C49" w:rsidRPr="00FD1F6E">
        <w:rPr>
          <w:rFonts w:ascii="Times New Roman" w:hAnsi="Times New Roman" w:cs="Times New Roman"/>
          <w:sz w:val="24"/>
          <w:szCs w:val="24"/>
          <w:lang w:val="en-GB"/>
        </w:rPr>
        <w:t xml:space="preserve"> </w:t>
      </w:r>
      <w:r w:rsidR="003E401C" w:rsidRPr="00FD1F6E">
        <w:rPr>
          <w:rFonts w:ascii="Times New Roman" w:hAnsi="Times New Roman" w:cs="Times New Roman"/>
          <w:sz w:val="24"/>
          <w:szCs w:val="24"/>
          <w:lang w:val="en-GB"/>
        </w:rPr>
        <w:t>gravity</w:t>
      </w:r>
      <w:r w:rsidR="00982A7E">
        <w:rPr>
          <w:rFonts w:ascii="Times New Roman" w:hAnsi="Times New Roman" w:cs="Times New Roman"/>
          <w:sz w:val="24"/>
          <w:szCs w:val="24"/>
          <w:lang w:val="en-GB"/>
        </w:rPr>
        <w:t xml:space="preserve"> analysis in the Decision Not to Investigate</w:t>
      </w:r>
      <w:r w:rsidR="00982A7E" w:rsidRPr="00FD1F6E">
        <w:rPr>
          <w:rFonts w:ascii="Times New Roman" w:hAnsi="Times New Roman" w:cs="Times New Roman"/>
          <w:sz w:val="24"/>
          <w:szCs w:val="24"/>
          <w:lang w:val="en-GB"/>
        </w:rPr>
        <w:t xml:space="preserve"> did not </w:t>
      </w:r>
      <w:r w:rsidR="00982A7E">
        <w:rPr>
          <w:rFonts w:ascii="Times New Roman" w:hAnsi="Times New Roman" w:cs="Times New Roman"/>
          <w:sz w:val="24"/>
          <w:szCs w:val="24"/>
          <w:lang w:val="en-GB"/>
        </w:rPr>
        <w:t xml:space="preserve">perhaps </w:t>
      </w:r>
      <w:r w:rsidR="00982A7E" w:rsidRPr="00FD1F6E">
        <w:rPr>
          <w:rFonts w:ascii="Times New Roman" w:hAnsi="Times New Roman" w:cs="Times New Roman"/>
          <w:sz w:val="24"/>
          <w:szCs w:val="24"/>
          <w:lang w:val="en-GB"/>
        </w:rPr>
        <w:t xml:space="preserve">take </w:t>
      </w:r>
      <w:r w:rsidR="00982A7E">
        <w:rPr>
          <w:rFonts w:ascii="Times New Roman" w:hAnsi="Times New Roman" w:cs="Times New Roman"/>
          <w:sz w:val="24"/>
          <w:szCs w:val="24"/>
          <w:lang w:val="en-GB"/>
        </w:rPr>
        <w:t>sufficient</w:t>
      </w:r>
      <w:r w:rsidR="00982A7E" w:rsidRPr="00FD1F6E">
        <w:rPr>
          <w:rFonts w:ascii="Times New Roman" w:hAnsi="Times New Roman" w:cs="Times New Roman"/>
          <w:sz w:val="24"/>
          <w:szCs w:val="24"/>
          <w:lang w:val="en-GB"/>
        </w:rPr>
        <w:t xml:space="preserve"> account </w:t>
      </w:r>
      <w:r w:rsidR="00982A7E">
        <w:rPr>
          <w:rFonts w:ascii="Times New Roman" w:hAnsi="Times New Roman" w:cs="Times New Roman"/>
          <w:sz w:val="24"/>
          <w:szCs w:val="24"/>
          <w:lang w:val="en-GB"/>
        </w:rPr>
        <w:t>of</w:t>
      </w:r>
      <w:r w:rsidR="003F693C" w:rsidRPr="00FD1F6E">
        <w:rPr>
          <w:rFonts w:ascii="Times New Roman" w:hAnsi="Times New Roman" w:cs="Times New Roman"/>
          <w:sz w:val="24"/>
          <w:szCs w:val="24"/>
          <w:lang w:val="en-GB"/>
        </w:rPr>
        <w:t xml:space="preserve"> the fact that the OTP was assessing the admissibility of </w:t>
      </w:r>
      <w:r w:rsidR="00D808EE" w:rsidRPr="00FD1F6E">
        <w:rPr>
          <w:rFonts w:ascii="Times New Roman" w:hAnsi="Times New Roman" w:cs="Times New Roman"/>
          <w:sz w:val="24"/>
          <w:szCs w:val="24"/>
          <w:lang w:val="en-GB"/>
        </w:rPr>
        <w:t>a</w:t>
      </w:r>
      <w:r w:rsidR="003F693C" w:rsidRPr="00FD1F6E">
        <w:rPr>
          <w:rFonts w:ascii="Times New Roman" w:hAnsi="Times New Roman" w:cs="Times New Roman"/>
          <w:sz w:val="24"/>
          <w:szCs w:val="24"/>
          <w:lang w:val="en-GB"/>
        </w:rPr>
        <w:t xml:space="preserve"> potential case at the stage of preliminary examination. </w:t>
      </w:r>
      <w:r w:rsidR="00E5577E" w:rsidRPr="00FD1F6E">
        <w:rPr>
          <w:rFonts w:ascii="Times New Roman" w:hAnsi="Times New Roman" w:cs="Times New Roman"/>
          <w:sz w:val="24"/>
          <w:szCs w:val="24"/>
          <w:lang w:val="en-GB"/>
        </w:rPr>
        <w:t>There is room to argue that, a</w:t>
      </w:r>
      <w:r w:rsidR="00D808EE" w:rsidRPr="00FD1F6E">
        <w:rPr>
          <w:rFonts w:ascii="Times New Roman" w:hAnsi="Times New Roman" w:cs="Times New Roman"/>
          <w:sz w:val="24"/>
          <w:szCs w:val="24"/>
          <w:lang w:val="en-GB"/>
        </w:rPr>
        <w:t xml:space="preserve">t this stage, the assessment of sufficient gravity is partially different from the assessment that the OTP </w:t>
      </w:r>
      <w:r w:rsidR="00982A7E">
        <w:rPr>
          <w:rFonts w:ascii="Times New Roman" w:hAnsi="Times New Roman" w:cs="Times New Roman"/>
          <w:sz w:val="24"/>
          <w:szCs w:val="24"/>
          <w:lang w:val="en-GB"/>
        </w:rPr>
        <w:t xml:space="preserve">or the Court </w:t>
      </w:r>
      <w:r w:rsidR="00D808EE" w:rsidRPr="00FD1F6E">
        <w:rPr>
          <w:rFonts w:ascii="Times New Roman" w:hAnsi="Times New Roman" w:cs="Times New Roman"/>
          <w:sz w:val="24"/>
          <w:szCs w:val="24"/>
          <w:lang w:val="en-GB"/>
        </w:rPr>
        <w:t xml:space="preserve">must perform </w:t>
      </w:r>
      <w:r w:rsidR="00982A7E">
        <w:rPr>
          <w:rFonts w:ascii="Times New Roman" w:hAnsi="Times New Roman" w:cs="Times New Roman"/>
          <w:sz w:val="24"/>
          <w:szCs w:val="24"/>
          <w:lang w:val="en-GB"/>
        </w:rPr>
        <w:t>subsequently</w:t>
      </w:r>
      <w:r w:rsidR="00D808EE" w:rsidRPr="00FD1F6E">
        <w:rPr>
          <w:rFonts w:ascii="Times New Roman" w:hAnsi="Times New Roman" w:cs="Times New Roman"/>
          <w:sz w:val="24"/>
          <w:szCs w:val="24"/>
          <w:lang w:val="en-GB"/>
        </w:rPr>
        <w:t>.</w:t>
      </w:r>
    </w:p>
    <w:p w:rsidR="00982A7E" w:rsidRPr="00FD1F6E" w:rsidRDefault="00982A7E" w:rsidP="00D808EE">
      <w:pPr>
        <w:spacing w:after="0" w:line="360" w:lineRule="auto"/>
        <w:jc w:val="both"/>
        <w:rPr>
          <w:rFonts w:ascii="Times New Roman" w:hAnsi="Times New Roman" w:cs="Times New Roman"/>
          <w:sz w:val="24"/>
          <w:szCs w:val="24"/>
          <w:lang w:val="en-GB"/>
        </w:rPr>
      </w:pPr>
    </w:p>
    <w:p w:rsidR="00982A7E" w:rsidRDefault="00982A7E" w:rsidP="00FB780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Although t</w:t>
      </w:r>
      <w:r w:rsidR="00FB7801" w:rsidRPr="00FD1F6E">
        <w:rPr>
          <w:rFonts w:ascii="Times New Roman" w:hAnsi="Times New Roman" w:cs="Times New Roman"/>
          <w:sz w:val="24"/>
          <w:szCs w:val="24"/>
          <w:lang w:val="en-GB"/>
        </w:rPr>
        <w:t>he OTP is independent from the Court,</w:t>
      </w:r>
      <w:r w:rsidR="00FB7801" w:rsidRPr="00FD1F6E">
        <w:rPr>
          <w:rStyle w:val="Rimandonotaapidipagina"/>
          <w:rFonts w:ascii="Times New Roman" w:hAnsi="Times New Roman" w:cs="Times New Roman"/>
          <w:sz w:val="24"/>
          <w:szCs w:val="24"/>
          <w:lang w:val="en-GB"/>
        </w:rPr>
        <w:footnoteReference w:id="61"/>
      </w:r>
      <w:r w:rsidR="00FB7801" w:rsidRPr="00FD1F6E">
        <w:rPr>
          <w:rFonts w:ascii="Times New Roman" w:hAnsi="Times New Roman" w:cs="Times New Roman"/>
          <w:sz w:val="24"/>
          <w:szCs w:val="24"/>
          <w:lang w:val="en-GB"/>
        </w:rPr>
        <w:t xml:space="preserve"> its prosecutorial powers regarding the opening of an investigation are not arbitrary, but rather discretionary.</w:t>
      </w:r>
      <w:r w:rsidR="00FB7801" w:rsidRPr="00FD1F6E">
        <w:rPr>
          <w:rStyle w:val="Rimandonotaapidipagina"/>
          <w:rFonts w:ascii="Times New Roman" w:hAnsi="Times New Roman" w:cs="Times New Roman"/>
          <w:sz w:val="24"/>
          <w:szCs w:val="24"/>
          <w:lang w:val="en-GB"/>
        </w:rPr>
        <w:footnoteReference w:id="62"/>
      </w:r>
      <w:r w:rsidR="00FB7801" w:rsidRPr="00FD1F6E">
        <w:rPr>
          <w:rFonts w:ascii="Times New Roman" w:hAnsi="Times New Roman" w:cs="Times New Roman"/>
          <w:sz w:val="24"/>
          <w:szCs w:val="24"/>
          <w:lang w:val="en-GB"/>
        </w:rPr>
        <w:t xml:space="preserve"> This means that the OTP’s </w:t>
      </w:r>
      <w:r w:rsidR="00FB7801" w:rsidRPr="00FD1F6E">
        <w:rPr>
          <w:rFonts w:ascii="Times New Roman" w:hAnsi="Times New Roman" w:cs="Times New Roman"/>
          <w:i/>
          <w:sz w:val="24"/>
          <w:szCs w:val="24"/>
          <w:lang w:val="en-GB"/>
        </w:rPr>
        <w:t>espace de manoeuvre</w:t>
      </w:r>
      <w:r w:rsidR="00FB7801" w:rsidRPr="00FD1F6E">
        <w:rPr>
          <w:rFonts w:ascii="Times New Roman" w:hAnsi="Times New Roman" w:cs="Times New Roman"/>
          <w:sz w:val="24"/>
          <w:szCs w:val="24"/>
          <w:lang w:val="en-GB"/>
        </w:rPr>
        <w:t xml:space="preserve"> is shaped by the rules and principles embodied in the Statute.</w:t>
      </w:r>
      <w:r w:rsidR="009B75CA" w:rsidRPr="00FD1F6E">
        <w:rPr>
          <w:rFonts w:ascii="Times New Roman" w:hAnsi="Times New Roman" w:cs="Times New Roman"/>
          <w:sz w:val="24"/>
          <w:szCs w:val="24"/>
          <w:lang w:val="en-GB"/>
        </w:rPr>
        <w:t xml:space="preserve"> Article 53 describes the </w:t>
      </w:r>
      <w:r>
        <w:rPr>
          <w:rFonts w:ascii="Times New Roman" w:hAnsi="Times New Roman" w:cs="Times New Roman"/>
          <w:sz w:val="24"/>
          <w:szCs w:val="24"/>
          <w:lang w:val="en-GB"/>
        </w:rPr>
        <w:t xml:space="preserve">legal conditions which must be met for the </w:t>
      </w:r>
      <w:r w:rsidR="009B75CA" w:rsidRPr="00FD1F6E">
        <w:rPr>
          <w:rFonts w:ascii="Times New Roman" w:hAnsi="Times New Roman" w:cs="Times New Roman"/>
          <w:sz w:val="24"/>
          <w:szCs w:val="24"/>
          <w:lang w:val="en-GB"/>
        </w:rPr>
        <w:t>OTP</w:t>
      </w:r>
      <w:r>
        <w:rPr>
          <w:rFonts w:ascii="Times New Roman" w:hAnsi="Times New Roman" w:cs="Times New Roman"/>
          <w:sz w:val="24"/>
          <w:szCs w:val="24"/>
          <w:lang w:val="en-GB"/>
        </w:rPr>
        <w:t xml:space="preserve"> to </w:t>
      </w:r>
      <w:r w:rsidR="009B75CA" w:rsidRPr="00FD1F6E">
        <w:rPr>
          <w:rFonts w:ascii="Times New Roman" w:hAnsi="Times New Roman" w:cs="Times New Roman"/>
          <w:sz w:val="24"/>
          <w:szCs w:val="24"/>
          <w:lang w:val="en-GB"/>
        </w:rPr>
        <w:t>open</w:t>
      </w:r>
      <w:r>
        <w:rPr>
          <w:rFonts w:ascii="Times New Roman" w:hAnsi="Times New Roman" w:cs="Times New Roman"/>
          <w:sz w:val="24"/>
          <w:szCs w:val="24"/>
          <w:lang w:val="en-GB"/>
        </w:rPr>
        <w:t xml:space="preserve"> </w:t>
      </w:r>
      <w:r w:rsidR="009B75CA" w:rsidRPr="00FD1F6E">
        <w:rPr>
          <w:rFonts w:ascii="Times New Roman" w:hAnsi="Times New Roman" w:cs="Times New Roman"/>
          <w:sz w:val="24"/>
          <w:szCs w:val="24"/>
          <w:lang w:val="en-GB"/>
        </w:rPr>
        <w:t>an inv</w:t>
      </w:r>
      <w:r>
        <w:rPr>
          <w:rFonts w:ascii="Times New Roman" w:hAnsi="Times New Roman" w:cs="Times New Roman"/>
          <w:sz w:val="24"/>
          <w:szCs w:val="24"/>
          <w:lang w:val="en-GB"/>
        </w:rPr>
        <w:t>estigation (paragraph 1) and to commence</w:t>
      </w:r>
      <w:r w:rsidR="009B75CA" w:rsidRPr="00FD1F6E">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009B75CA" w:rsidRPr="00FD1F6E">
        <w:rPr>
          <w:rFonts w:ascii="Times New Roman" w:hAnsi="Times New Roman" w:cs="Times New Roman"/>
          <w:sz w:val="24"/>
          <w:szCs w:val="24"/>
          <w:lang w:val="en-GB"/>
        </w:rPr>
        <w:t xml:space="preserve"> </w:t>
      </w:r>
      <w:r w:rsidR="000479B4" w:rsidRPr="00FD1F6E">
        <w:rPr>
          <w:rFonts w:ascii="Times New Roman" w:hAnsi="Times New Roman" w:cs="Times New Roman"/>
          <w:sz w:val="24"/>
          <w:szCs w:val="24"/>
          <w:lang w:val="en-GB"/>
        </w:rPr>
        <w:t>prosecution</w:t>
      </w:r>
      <w:r w:rsidR="009B75CA" w:rsidRPr="00FD1F6E">
        <w:rPr>
          <w:rFonts w:ascii="Times New Roman" w:hAnsi="Times New Roman" w:cs="Times New Roman"/>
          <w:sz w:val="24"/>
          <w:szCs w:val="24"/>
          <w:lang w:val="en-GB"/>
        </w:rPr>
        <w:t xml:space="preserve"> (paragraph 2). The </w:t>
      </w:r>
      <w:r w:rsidR="009B75CA" w:rsidRPr="00FD1F6E">
        <w:rPr>
          <w:rFonts w:ascii="Times New Roman" w:hAnsi="Times New Roman" w:cs="Times New Roman"/>
          <w:sz w:val="24"/>
          <w:szCs w:val="24"/>
          <w:lang w:val="en-GB"/>
        </w:rPr>
        <w:lastRenderedPageBreak/>
        <w:t>OTP’s assessments on the basis of Article 53(1) and Article 53(2) comprise three elements: an evaluation o</w:t>
      </w:r>
      <w:r>
        <w:rPr>
          <w:rFonts w:ascii="Times New Roman" w:hAnsi="Times New Roman" w:cs="Times New Roman"/>
          <w:sz w:val="24"/>
          <w:szCs w:val="24"/>
          <w:lang w:val="en-GB"/>
        </w:rPr>
        <w:t>f</w:t>
      </w:r>
      <w:r w:rsidR="009B75CA" w:rsidRPr="00FD1F6E">
        <w:rPr>
          <w:rFonts w:ascii="Times New Roman" w:hAnsi="Times New Roman" w:cs="Times New Roman"/>
          <w:sz w:val="24"/>
          <w:szCs w:val="24"/>
          <w:lang w:val="en-GB"/>
        </w:rPr>
        <w:t xml:space="preserve"> the existence of a reasonable / sufficient basis regarding the commission of crimes within the ICC jurisdiction; an evaluation of the admissibility of the </w:t>
      </w:r>
      <w:r w:rsidR="005568E3">
        <w:rPr>
          <w:rFonts w:ascii="Times New Roman" w:hAnsi="Times New Roman" w:cs="Times New Roman"/>
          <w:sz w:val="24"/>
          <w:szCs w:val="24"/>
          <w:lang w:val="en-GB"/>
        </w:rPr>
        <w:t>‘</w:t>
      </w:r>
      <w:r w:rsidR="009B75CA" w:rsidRPr="00FD1F6E">
        <w:rPr>
          <w:rFonts w:ascii="Times New Roman" w:hAnsi="Times New Roman" w:cs="Times New Roman"/>
          <w:sz w:val="24"/>
          <w:szCs w:val="24"/>
          <w:lang w:val="en-GB"/>
        </w:rPr>
        <w:t>potential case</w:t>
      </w:r>
      <w:r w:rsidR="00DF0067" w:rsidRPr="00FD1F6E">
        <w:rPr>
          <w:rFonts w:ascii="Times New Roman" w:hAnsi="Times New Roman" w:cs="Times New Roman"/>
          <w:sz w:val="24"/>
          <w:szCs w:val="24"/>
          <w:lang w:val="en-GB"/>
        </w:rPr>
        <w:t>(s)</w:t>
      </w:r>
      <w:r w:rsidR="005568E3">
        <w:rPr>
          <w:rFonts w:ascii="Times New Roman" w:hAnsi="Times New Roman" w:cs="Times New Roman"/>
          <w:sz w:val="24"/>
          <w:szCs w:val="24"/>
          <w:lang w:val="en-GB"/>
        </w:rPr>
        <w:t>’</w:t>
      </w:r>
      <w:r w:rsidR="009B75CA" w:rsidRPr="00FD1F6E">
        <w:rPr>
          <w:rFonts w:ascii="Times New Roman" w:hAnsi="Times New Roman" w:cs="Times New Roman"/>
          <w:sz w:val="24"/>
          <w:szCs w:val="24"/>
          <w:lang w:val="en-GB"/>
        </w:rPr>
        <w:t xml:space="preserve"> / </w:t>
      </w:r>
      <w:r w:rsidR="005568E3">
        <w:rPr>
          <w:rFonts w:ascii="Times New Roman" w:hAnsi="Times New Roman" w:cs="Times New Roman"/>
          <w:sz w:val="24"/>
          <w:szCs w:val="24"/>
          <w:lang w:val="en-GB"/>
        </w:rPr>
        <w:t>‘</w:t>
      </w:r>
      <w:r w:rsidR="009B75CA" w:rsidRPr="00FD1F6E">
        <w:rPr>
          <w:rFonts w:ascii="Times New Roman" w:hAnsi="Times New Roman" w:cs="Times New Roman"/>
          <w:sz w:val="24"/>
          <w:szCs w:val="24"/>
          <w:lang w:val="en-GB"/>
        </w:rPr>
        <w:t>case</w:t>
      </w:r>
      <w:r w:rsidR="00DF0067" w:rsidRPr="00FD1F6E">
        <w:rPr>
          <w:rFonts w:ascii="Times New Roman" w:hAnsi="Times New Roman" w:cs="Times New Roman"/>
          <w:sz w:val="24"/>
          <w:szCs w:val="24"/>
          <w:lang w:val="en-GB"/>
        </w:rPr>
        <w:t>(s)</w:t>
      </w:r>
      <w:r w:rsidR="005568E3">
        <w:rPr>
          <w:rFonts w:ascii="Times New Roman" w:hAnsi="Times New Roman" w:cs="Times New Roman"/>
          <w:sz w:val="24"/>
          <w:szCs w:val="24"/>
          <w:lang w:val="en-GB"/>
        </w:rPr>
        <w:t>’</w:t>
      </w:r>
      <w:r w:rsidR="009B75CA" w:rsidRPr="00FD1F6E">
        <w:rPr>
          <w:rFonts w:ascii="Times New Roman" w:hAnsi="Times New Roman" w:cs="Times New Roman"/>
          <w:sz w:val="24"/>
          <w:szCs w:val="24"/>
          <w:lang w:val="en-GB"/>
        </w:rPr>
        <w:t xml:space="preserve"> in light of the principles of complementarity and sufficient gravity; and respect </w:t>
      </w:r>
      <w:r w:rsidR="005568E3">
        <w:rPr>
          <w:rFonts w:ascii="Times New Roman" w:hAnsi="Times New Roman" w:cs="Times New Roman"/>
          <w:sz w:val="24"/>
          <w:szCs w:val="24"/>
          <w:lang w:val="en-GB"/>
        </w:rPr>
        <w:t>for</w:t>
      </w:r>
      <w:r w:rsidR="009B75CA" w:rsidRPr="00FD1F6E">
        <w:rPr>
          <w:rFonts w:ascii="Times New Roman" w:hAnsi="Times New Roman" w:cs="Times New Roman"/>
          <w:sz w:val="24"/>
          <w:szCs w:val="24"/>
          <w:lang w:val="en-GB"/>
        </w:rPr>
        <w:t xml:space="preserve"> the interests of justice. </w:t>
      </w:r>
    </w:p>
    <w:p w:rsidR="00982A7E" w:rsidRDefault="00982A7E" w:rsidP="00FB7801">
      <w:pPr>
        <w:spacing w:after="0" w:line="360" w:lineRule="auto"/>
        <w:jc w:val="both"/>
        <w:rPr>
          <w:rFonts w:ascii="Times New Roman" w:hAnsi="Times New Roman" w:cs="Times New Roman"/>
          <w:sz w:val="24"/>
          <w:szCs w:val="24"/>
          <w:lang w:val="en-GB"/>
        </w:rPr>
      </w:pPr>
    </w:p>
    <w:p w:rsidR="009B75CA" w:rsidRDefault="009B75CA" w:rsidP="00B552BA">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Article 53(1)(a) </w:t>
      </w:r>
      <w:r w:rsidR="00982A7E">
        <w:rPr>
          <w:rFonts w:ascii="Times New Roman" w:hAnsi="Times New Roman" w:cs="Times New Roman"/>
          <w:sz w:val="24"/>
          <w:szCs w:val="24"/>
          <w:lang w:val="en-GB"/>
        </w:rPr>
        <w:t>may require</w:t>
      </w:r>
      <w:r w:rsidRPr="00FD1F6E">
        <w:rPr>
          <w:rFonts w:ascii="Times New Roman" w:hAnsi="Times New Roman" w:cs="Times New Roman"/>
          <w:sz w:val="24"/>
          <w:szCs w:val="24"/>
          <w:lang w:val="en-GB"/>
        </w:rPr>
        <w:t xml:space="preserve"> a</w:t>
      </w:r>
      <w:r w:rsidR="00982A7E">
        <w:rPr>
          <w:rFonts w:ascii="Times New Roman" w:hAnsi="Times New Roman" w:cs="Times New Roman"/>
          <w:sz w:val="24"/>
          <w:szCs w:val="24"/>
          <w:lang w:val="en-GB"/>
        </w:rPr>
        <w:t xml:space="preserve"> somewhat</w:t>
      </w:r>
      <w:r w:rsidRPr="00FD1F6E">
        <w:rPr>
          <w:rFonts w:ascii="Times New Roman" w:hAnsi="Times New Roman" w:cs="Times New Roman"/>
          <w:sz w:val="24"/>
          <w:szCs w:val="24"/>
          <w:lang w:val="en-GB"/>
        </w:rPr>
        <w:t xml:space="preserve"> lower threshold than Article 53(2)(a) </w:t>
      </w:r>
      <w:r w:rsidR="00982A7E">
        <w:rPr>
          <w:rFonts w:ascii="Times New Roman" w:hAnsi="Times New Roman" w:cs="Times New Roman"/>
          <w:sz w:val="24"/>
          <w:szCs w:val="24"/>
          <w:lang w:val="en-GB"/>
        </w:rPr>
        <w:t>to establish</w:t>
      </w:r>
      <w:r w:rsidRPr="00FD1F6E">
        <w:rPr>
          <w:rFonts w:ascii="Times New Roman" w:hAnsi="Times New Roman" w:cs="Times New Roman"/>
          <w:sz w:val="24"/>
          <w:szCs w:val="24"/>
          <w:lang w:val="en-GB"/>
        </w:rPr>
        <w:t xml:space="preserve"> the commission of crimes.</w:t>
      </w:r>
      <w:r w:rsidR="00982A7E">
        <w:rPr>
          <w:rFonts w:ascii="Times New Roman" w:hAnsi="Times New Roman" w:cs="Times New Roman"/>
          <w:sz w:val="24"/>
          <w:szCs w:val="24"/>
          <w:lang w:val="en-GB"/>
        </w:rPr>
        <w:t xml:space="preserve"> Specifically, </w:t>
      </w:r>
      <w:r w:rsidR="00FB7801" w:rsidRPr="00FD1F6E">
        <w:rPr>
          <w:rFonts w:ascii="Times New Roman" w:hAnsi="Times New Roman" w:cs="Times New Roman"/>
          <w:sz w:val="24"/>
          <w:szCs w:val="24"/>
          <w:lang w:val="en-GB"/>
        </w:rPr>
        <w:t>Article 53(1)(a) requires ‘a reasonable basis’, while Article 53(2)(a</w:t>
      </w:r>
      <w:r w:rsidR="00B30F14" w:rsidRPr="00FD1F6E">
        <w:rPr>
          <w:rFonts w:ascii="Times New Roman" w:hAnsi="Times New Roman" w:cs="Times New Roman"/>
          <w:sz w:val="24"/>
          <w:szCs w:val="24"/>
          <w:lang w:val="en-GB"/>
        </w:rPr>
        <w:t xml:space="preserve">) </w:t>
      </w:r>
      <w:r w:rsidR="00982A7E">
        <w:rPr>
          <w:rFonts w:ascii="Times New Roman" w:hAnsi="Times New Roman" w:cs="Times New Roman"/>
          <w:sz w:val="24"/>
          <w:szCs w:val="24"/>
          <w:lang w:val="en-GB"/>
        </w:rPr>
        <w:t>requires</w:t>
      </w:r>
      <w:r w:rsidR="00B30F14" w:rsidRPr="00FD1F6E">
        <w:rPr>
          <w:rFonts w:ascii="Times New Roman" w:hAnsi="Times New Roman" w:cs="Times New Roman"/>
          <w:sz w:val="24"/>
          <w:szCs w:val="24"/>
          <w:lang w:val="en-GB"/>
        </w:rPr>
        <w:t xml:space="preserve"> ‘a sufficient basis’.</w:t>
      </w:r>
      <w:r w:rsidR="00FB7801" w:rsidRPr="00FD1F6E">
        <w:rPr>
          <w:rFonts w:ascii="Times New Roman" w:hAnsi="Times New Roman" w:cs="Times New Roman"/>
          <w:sz w:val="24"/>
          <w:szCs w:val="24"/>
          <w:lang w:val="en-GB"/>
        </w:rPr>
        <w:t xml:space="preserve"> </w:t>
      </w:r>
      <w:r w:rsidR="00B30F14" w:rsidRPr="00FD1F6E">
        <w:rPr>
          <w:rFonts w:ascii="Times New Roman" w:hAnsi="Times New Roman" w:cs="Times New Roman"/>
          <w:sz w:val="24"/>
          <w:szCs w:val="24"/>
          <w:lang w:val="en-GB"/>
        </w:rPr>
        <w:t>T</w:t>
      </w:r>
      <w:r w:rsidR="00FB7801" w:rsidRPr="00FD1F6E">
        <w:rPr>
          <w:rFonts w:ascii="Times New Roman" w:hAnsi="Times New Roman" w:cs="Times New Roman"/>
          <w:sz w:val="24"/>
          <w:szCs w:val="24"/>
          <w:lang w:val="en-GB"/>
        </w:rPr>
        <w:t xml:space="preserve">his linguistic distinction </w:t>
      </w:r>
      <w:r w:rsidR="00973A44" w:rsidRPr="00FD1F6E">
        <w:rPr>
          <w:rFonts w:ascii="Times New Roman" w:hAnsi="Times New Roman" w:cs="Times New Roman"/>
          <w:sz w:val="24"/>
          <w:szCs w:val="24"/>
          <w:lang w:val="en-GB"/>
        </w:rPr>
        <w:t>was</w:t>
      </w:r>
      <w:r w:rsidR="00B30F14" w:rsidRPr="00FD1F6E">
        <w:rPr>
          <w:rFonts w:ascii="Times New Roman" w:hAnsi="Times New Roman" w:cs="Times New Roman"/>
          <w:sz w:val="24"/>
          <w:szCs w:val="24"/>
          <w:lang w:val="en-GB"/>
        </w:rPr>
        <w:t xml:space="preserve"> </w:t>
      </w:r>
      <w:r w:rsidR="00973A44" w:rsidRPr="00FD1F6E">
        <w:rPr>
          <w:rFonts w:ascii="Times New Roman" w:hAnsi="Times New Roman" w:cs="Times New Roman"/>
          <w:sz w:val="24"/>
          <w:szCs w:val="24"/>
          <w:lang w:val="en-GB"/>
        </w:rPr>
        <w:t>not inadvertent</w:t>
      </w:r>
      <w:r w:rsidR="00982A7E">
        <w:rPr>
          <w:rFonts w:ascii="Times New Roman" w:hAnsi="Times New Roman" w:cs="Times New Roman"/>
          <w:sz w:val="24"/>
          <w:szCs w:val="24"/>
          <w:lang w:val="en-GB"/>
        </w:rPr>
        <w:t>,</w:t>
      </w:r>
      <w:r w:rsidR="00B30F14" w:rsidRPr="00FD1F6E">
        <w:rPr>
          <w:rStyle w:val="Rimandonotaapidipagina"/>
          <w:rFonts w:ascii="Times New Roman" w:hAnsi="Times New Roman" w:cs="Times New Roman"/>
          <w:sz w:val="24"/>
          <w:szCs w:val="24"/>
          <w:lang w:val="en-GB"/>
        </w:rPr>
        <w:footnoteReference w:id="63"/>
      </w:r>
      <w:r w:rsidR="00B30F14" w:rsidRPr="00FD1F6E">
        <w:rPr>
          <w:rFonts w:ascii="Times New Roman" w:hAnsi="Times New Roman" w:cs="Times New Roman"/>
          <w:sz w:val="24"/>
          <w:szCs w:val="24"/>
          <w:lang w:val="en-GB"/>
        </w:rPr>
        <w:t xml:space="preserve"> and </w:t>
      </w:r>
      <w:r w:rsidR="00FB7801" w:rsidRPr="00FD1F6E">
        <w:rPr>
          <w:rFonts w:ascii="Times New Roman" w:hAnsi="Times New Roman" w:cs="Times New Roman"/>
          <w:sz w:val="24"/>
          <w:szCs w:val="24"/>
          <w:lang w:val="en-GB"/>
        </w:rPr>
        <w:t>suggests that the test for prosecution is more demanding</w:t>
      </w:r>
      <w:r w:rsidRPr="00FD1F6E">
        <w:rPr>
          <w:rFonts w:ascii="Times New Roman" w:hAnsi="Times New Roman" w:cs="Times New Roman"/>
          <w:sz w:val="24"/>
          <w:szCs w:val="24"/>
          <w:lang w:val="en-GB"/>
        </w:rPr>
        <w:t>.</w:t>
      </w:r>
      <w:r w:rsidR="00FB7801" w:rsidRPr="00FD1F6E">
        <w:rPr>
          <w:rStyle w:val="Rimandonotaapidipagina"/>
          <w:rFonts w:ascii="Times New Roman" w:hAnsi="Times New Roman" w:cs="Times New Roman"/>
          <w:sz w:val="24"/>
          <w:szCs w:val="24"/>
          <w:lang w:val="en-GB"/>
        </w:rPr>
        <w:footnoteReference w:id="64"/>
      </w:r>
      <w:r w:rsidR="00FB7801" w:rsidRPr="00FD1F6E">
        <w:rPr>
          <w:rFonts w:ascii="Times New Roman" w:hAnsi="Times New Roman" w:cs="Times New Roman"/>
          <w:sz w:val="24"/>
          <w:szCs w:val="24"/>
          <w:lang w:val="en-GB"/>
        </w:rPr>
        <w:t xml:space="preserve"> </w:t>
      </w:r>
      <w:r w:rsidR="003F513B" w:rsidRPr="00FD1F6E">
        <w:rPr>
          <w:rFonts w:ascii="Times New Roman" w:hAnsi="Times New Roman" w:cs="Times New Roman"/>
          <w:sz w:val="24"/>
          <w:szCs w:val="24"/>
          <w:lang w:val="en-GB"/>
        </w:rPr>
        <w:t>At the preliminary examination</w:t>
      </w:r>
      <w:r w:rsidRPr="00FD1F6E">
        <w:rPr>
          <w:rFonts w:ascii="Times New Roman" w:hAnsi="Times New Roman" w:cs="Times New Roman"/>
          <w:sz w:val="24"/>
          <w:szCs w:val="24"/>
          <w:lang w:val="en-GB"/>
        </w:rPr>
        <w:t xml:space="preserve"> stage, the OTP deals with a</w:t>
      </w:r>
      <w:r w:rsidR="00DF0067" w:rsidRPr="00FD1F6E">
        <w:rPr>
          <w:rFonts w:ascii="Times New Roman" w:hAnsi="Times New Roman" w:cs="Times New Roman"/>
          <w:sz w:val="24"/>
          <w:szCs w:val="24"/>
          <w:lang w:val="en-GB"/>
        </w:rPr>
        <w:t xml:space="preserve"> situation from which one or more</w:t>
      </w:r>
      <w:r w:rsidRPr="00FD1F6E">
        <w:rPr>
          <w:rFonts w:ascii="Times New Roman" w:hAnsi="Times New Roman" w:cs="Times New Roman"/>
          <w:sz w:val="24"/>
          <w:szCs w:val="24"/>
          <w:lang w:val="en-GB"/>
        </w:rPr>
        <w:t xml:space="preserve"> </w:t>
      </w:r>
      <w:r w:rsidRPr="00FD1F6E">
        <w:rPr>
          <w:rFonts w:ascii="Times New Roman" w:hAnsi="Times New Roman" w:cs="Times New Roman"/>
          <w:i/>
          <w:sz w:val="24"/>
          <w:szCs w:val="24"/>
          <w:lang w:val="en-GB"/>
        </w:rPr>
        <w:t>potential</w:t>
      </w:r>
      <w:r w:rsidRPr="00FD1F6E">
        <w:rPr>
          <w:rFonts w:ascii="Times New Roman" w:hAnsi="Times New Roman" w:cs="Times New Roman"/>
          <w:sz w:val="24"/>
          <w:szCs w:val="24"/>
          <w:lang w:val="en-GB"/>
        </w:rPr>
        <w:t xml:space="preserve"> case</w:t>
      </w:r>
      <w:r w:rsidR="00DF0067" w:rsidRPr="00FD1F6E">
        <w:rPr>
          <w:rFonts w:ascii="Times New Roman" w:hAnsi="Times New Roman" w:cs="Times New Roman"/>
          <w:sz w:val="24"/>
          <w:szCs w:val="24"/>
          <w:lang w:val="en-GB"/>
        </w:rPr>
        <w:t>s could arise</w:t>
      </w:r>
      <w:r w:rsidRPr="00FD1F6E">
        <w:rPr>
          <w:rFonts w:ascii="Times New Roman" w:hAnsi="Times New Roman" w:cs="Times New Roman"/>
          <w:sz w:val="24"/>
          <w:szCs w:val="24"/>
          <w:lang w:val="en-GB"/>
        </w:rPr>
        <w:t xml:space="preserve">, </w:t>
      </w:r>
      <w:r w:rsidR="00DF0067" w:rsidRPr="00FD1F6E">
        <w:rPr>
          <w:rFonts w:ascii="Times New Roman" w:hAnsi="Times New Roman" w:cs="Times New Roman"/>
          <w:sz w:val="24"/>
          <w:szCs w:val="24"/>
          <w:lang w:val="en-US"/>
        </w:rPr>
        <w:t>rather than with</w:t>
      </w:r>
      <w:r w:rsidRPr="00FD1F6E">
        <w:rPr>
          <w:rFonts w:ascii="Times New Roman" w:hAnsi="Times New Roman" w:cs="Times New Roman"/>
          <w:sz w:val="24"/>
          <w:szCs w:val="24"/>
          <w:lang w:val="en-US"/>
        </w:rPr>
        <w:t xml:space="preserve"> </w:t>
      </w:r>
      <w:r w:rsidR="005568E3">
        <w:rPr>
          <w:rFonts w:ascii="Times New Roman" w:hAnsi="Times New Roman" w:cs="Times New Roman"/>
          <w:sz w:val="24"/>
          <w:szCs w:val="24"/>
          <w:lang w:val="en-US"/>
        </w:rPr>
        <w:t xml:space="preserve">an </w:t>
      </w:r>
      <w:r w:rsidRPr="00FD1F6E">
        <w:rPr>
          <w:rFonts w:ascii="Times New Roman" w:hAnsi="Times New Roman" w:cs="Times New Roman"/>
          <w:sz w:val="24"/>
          <w:szCs w:val="24"/>
          <w:lang w:val="en-US"/>
        </w:rPr>
        <w:t xml:space="preserve">actual case, and this difference is relevant: since the </w:t>
      </w:r>
      <w:r w:rsidRPr="00FD1F6E">
        <w:rPr>
          <w:rFonts w:ascii="Times New Roman" w:hAnsi="Times New Roman" w:cs="Times New Roman"/>
          <w:sz w:val="24"/>
          <w:szCs w:val="24"/>
          <w:lang w:val="en-GB"/>
        </w:rPr>
        <w:t>actual prosecution affects the rights of the accused, who</w:t>
      </w:r>
      <w:r w:rsidR="00982A7E">
        <w:rPr>
          <w:rFonts w:ascii="Times New Roman" w:hAnsi="Times New Roman" w:cs="Times New Roman"/>
          <w:sz w:val="24"/>
          <w:szCs w:val="24"/>
          <w:lang w:val="en-GB"/>
        </w:rPr>
        <w:t xml:space="preserve"> should be presumed </w:t>
      </w:r>
      <w:r w:rsidR="00DF0067" w:rsidRPr="00FD1F6E">
        <w:rPr>
          <w:rFonts w:ascii="Times New Roman" w:hAnsi="Times New Roman" w:cs="Times New Roman"/>
          <w:sz w:val="24"/>
          <w:szCs w:val="24"/>
          <w:lang w:val="en-GB"/>
        </w:rPr>
        <w:t>innocent</w:t>
      </w:r>
      <w:r w:rsidR="00982A7E">
        <w:rPr>
          <w:rFonts w:ascii="Times New Roman" w:hAnsi="Times New Roman" w:cs="Times New Roman"/>
          <w:sz w:val="24"/>
          <w:szCs w:val="24"/>
          <w:lang w:val="en-GB"/>
        </w:rPr>
        <w:t>, the threshold required for</w:t>
      </w:r>
      <w:r w:rsidRPr="00FD1F6E">
        <w:rPr>
          <w:rFonts w:ascii="Times New Roman" w:hAnsi="Times New Roman" w:cs="Times New Roman"/>
          <w:sz w:val="24"/>
          <w:szCs w:val="24"/>
          <w:lang w:val="en-GB"/>
        </w:rPr>
        <w:t xml:space="preserve"> Article 53(2)(a) is </w:t>
      </w:r>
      <w:r w:rsidR="00982A7E">
        <w:rPr>
          <w:rFonts w:ascii="Times New Roman" w:hAnsi="Times New Roman" w:cs="Times New Roman"/>
          <w:sz w:val="24"/>
          <w:szCs w:val="24"/>
          <w:lang w:val="en-GB"/>
        </w:rPr>
        <w:t xml:space="preserve">logically </w:t>
      </w:r>
      <w:r w:rsidRPr="00FD1F6E">
        <w:rPr>
          <w:rFonts w:ascii="Times New Roman" w:hAnsi="Times New Roman" w:cs="Times New Roman"/>
          <w:sz w:val="24"/>
          <w:szCs w:val="24"/>
          <w:lang w:val="en-GB"/>
        </w:rPr>
        <w:t xml:space="preserve">higher than </w:t>
      </w:r>
      <w:r w:rsidR="00F053FD" w:rsidRPr="00FD1F6E">
        <w:rPr>
          <w:rFonts w:ascii="Times New Roman" w:hAnsi="Times New Roman" w:cs="Times New Roman"/>
          <w:sz w:val="24"/>
          <w:szCs w:val="24"/>
          <w:lang w:val="en-GB"/>
        </w:rPr>
        <w:t xml:space="preserve">that embodied in Article 53(1)(a) </w:t>
      </w:r>
      <w:r w:rsidR="00982A7E">
        <w:rPr>
          <w:rFonts w:ascii="Times New Roman" w:hAnsi="Times New Roman" w:cs="Times New Roman"/>
          <w:sz w:val="24"/>
          <w:szCs w:val="24"/>
          <w:lang w:val="en-GB"/>
        </w:rPr>
        <w:t>for</w:t>
      </w:r>
      <w:r w:rsidR="00F053FD" w:rsidRPr="00FD1F6E">
        <w:rPr>
          <w:rFonts w:ascii="Times New Roman" w:hAnsi="Times New Roman" w:cs="Times New Roman"/>
          <w:sz w:val="24"/>
          <w:szCs w:val="24"/>
          <w:lang w:val="en-GB"/>
        </w:rPr>
        <w:t xml:space="preserve"> the preliminary examination stage</w:t>
      </w:r>
      <w:r w:rsidRPr="00FD1F6E">
        <w:rPr>
          <w:rFonts w:ascii="Times New Roman" w:hAnsi="Times New Roman" w:cs="Times New Roman"/>
          <w:sz w:val="24"/>
          <w:szCs w:val="24"/>
          <w:lang w:val="en-US"/>
        </w:rPr>
        <w:t xml:space="preserve">. As affirmed recently in the ICC’s case law, </w:t>
      </w:r>
      <w:r w:rsidR="003F513B" w:rsidRPr="00FD1F6E">
        <w:rPr>
          <w:rFonts w:ascii="Times New Roman" w:hAnsi="Times New Roman" w:cs="Times New Roman"/>
          <w:sz w:val="24"/>
          <w:szCs w:val="24"/>
          <w:lang w:val="en-US"/>
        </w:rPr>
        <w:t>at the preliminary examination</w:t>
      </w:r>
      <w:r w:rsidR="005568E3">
        <w:rPr>
          <w:rFonts w:ascii="Times New Roman" w:hAnsi="Times New Roman" w:cs="Times New Roman"/>
          <w:sz w:val="24"/>
          <w:szCs w:val="24"/>
          <w:lang w:val="en-US"/>
        </w:rPr>
        <w:t xml:space="preserve"> stage the OTP need</w:t>
      </w:r>
      <w:r w:rsidRPr="00FD1F6E">
        <w:rPr>
          <w:rFonts w:ascii="Times New Roman" w:hAnsi="Times New Roman" w:cs="Times New Roman"/>
          <w:sz w:val="24"/>
          <w:szCs w:val="24"/>
          <w:lang w:val="en-US"/>
        </w:rPr>
        <w:t xml:space="preserve"> only find one potential case that is sufficiently grave in order to trigger the investigation, while, later in the proceedings, the OTP </w:t>
      </w:r>
      <w:r w:rsidR="005568E3">
        <w:rPr>
          <w:rFonts w:ascii="Times New Roman" w:hAnsi="Times New Roman" w:cs="Times New Roman"/>
          <w:sz w:val="24"/>
          <w:szCs w:val="24"/>
          <w:lang w:val="en-US"/>
        </w:rPr>
        <w:t>must</w:t>
      </w:r>
      <w:r w:rsidRPr="00FD1F6E">
        <w:rPr>
          <w:rFonts w:ascii="Times New Roman" w:hAnsi="Times New Roman" w:cs="Times New Roman"/>
          <w:sz w:val="24"/>
          <w:szCs w:val="24"/>
          <w:lang w:val="en-US"/>
        </w:rPr>
        <w:t xml:space="preserve"> specifically demonstrate that the actual case </w:t>
      </w:r>
      <w:r w:rsidR="005568E3">
        <w:rPr>
          <w:rFonts w:ascii="Times New Roman" w:hAnsi="Times New Roman" w:cs="Times New Roman"/>
          <w:sz w:val="24"/>
          <w:szCs w:val="24"/>
          <w:lang w:val="en-US"/>
        </w:rPr>
        <w:t>at</w:t>
      </w:r>
      <w:r w:rsidRPr="00FD1F6E">
        <w:rPr>
          <w:rFonts w:ascii="Times New Roman" w:hAnsi="Times New Roman" w:cs="Times New Roman"/>
          <w:sz w:val="24"/>
          <w:szCs w:val="24"/>
          <w:lang w:val="en-US"/>
        </w:rPr>
        <w:t xml:space="preserve"> hand is sufficiently grave.</w:t>
      </w:r>
      <w:r w:rsidRPr="00FD1F6E">
        <w:rPr>
          <w:rStyle w:val="Rimandonotaapidipagina"/>
          <w:rFonts w:ascii="Times New Roman" w:hAnsi="Times New Roman" w:cs="Times New Roman"/>
          <w:sz w:val="24"/>
          <w:szCs w:val="24"/>
          <w:lang w:val="en-US"/>
        </w:rPr>
        <w:footnoteReference w:id="65"/>
      </w:r>
      <w:r w:rsidRPr="00FD1F6E">
        <w:rPr>
          <w:rFonts w:ascii="Times New Roman" w:hAnsi="Times New Roman" w:cs="Times New Roman"/>
          <w:sz w:val="24"/>
          <w:szCs w:val="24"/>
          <w:lang w:val="en-GB"/>
        </w:rPr>
        <w:t xml:space="preserve">  </w:t>
      </w:r>
    </w:p>
    <w:p w:rsidR="00982A7E" w:rsidRDefault="00982A7E" w:rsidP="00B552BA">
      <w:pPr>
        <w:spacing w:after="0" w:line="360" w:lineRule="auto"/>
        <w:jc w:val="both"/>
        <w:rPr>
          <w:rFonts w:ascii="Times New Roman" w:hAnsi="Times New Roman" w:cs="Times New Roman"/>
          <w:sz w:val="24"/>
          <w:szCs w:val="24"/>
          <w:lang w:val="en-GB"/>
        </w:rPr>
      </w:pPr>
    </w:p>
    <w:p w:rsidR="00E936E5" w:rsidRPr="00FD1F6E" w:rsidRDefault="00982A7E" w:rsidP="00982A7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Furthermore, s</w:t>
      </w:r>
      <w:r w:rsidRPr="00FD1F6E">
        <w:rPr>
          <w:rFonts w:ascii="Times New Roman" w:hAnsi="Times New Roman" w:cs="Times New Roman"/>
          <w:sz w:val="24"/>
          <w:szCs w:val="24"/>
          <w:lang w:val="en-GB"/>
        </w:rPr>
        <w:t xml:space="preserve">ince </w:t>
      </w:r>
      <w:r>
        <w:rPr>
          <w:rFonts w:ascii="Times New Roman" w:hAnsi="Times New Roman" w:cs="Times New Roman"/>
          <w:sz w:val="24"/>
          <w:szCs w:val="24"/>
          <w:lang w:val="en-GB"/>
        </w:rPr>
        <w:t xml:space="preserve">determination of a factual basis for a crime within the jurisdiction of the Court </w:t>
      </w:r>
      <w:r w:rsidRPr="00FD1F6E">
        <w:rPr>
          <w:rFonts w:ascii="Times New Roman" w:hAnsi="Times New Roman" w:cs="Times New Roman"/>
          <w:sz w:val="24"/>
          <w:szCs w:val="24"/>
          <w:lang w:val="en-GB"/>
        </w:rPr>
        <w:t>i</w:t>
      </w:r>
      <w:r>
        <w:rPr>
          <w:rFonts w:ascii="Times New Roman" w:hAnsi="Times New Roman" w:cs="Times New Roman"/>
          <w:sz w:val="24"/>
          <w:szCs w:val="24"/>
          <w:lang w:val="en-GB"/>
        </w:rPr>
        <w:t>s</w:t>
      </w:r>
      <w:r w:rsidRPr="00FD1F6E">
        <w:rPr>
          <w:rFonts w:ascii="Times New Roman" w:hAnsi="Times New Roman" w:cs="Times New Roman"/>
          <w:sz w:val="24"/>
          <w:szCs w:val="24"/>
          <w:lang w:val="en-GB"/>
        </w:rPr>
        <w:t xml:space="preserve"> only </w:t>
      </w:r>
      <w:r>
        <w:rPr>
          <w:rFonts w:ascii="Times New Roman" w:hAnsi="Times New Roman" w:cs="Times New Roman"/>
          <w:sz w:val="24"/>
          <w:szCs w:val="24"/>
          <w:lang w:val="en-GB"/>
        </w:rPr>
        <w:t>the first part</w:t>
      </w:r>
      <w:r w:rsidRPr="00FD1F6E">
        <w:rPr>
          <w:rFonts w:ascii="Times New Roman" w:hAnsi="Times New Roman" w:cs="Times New Roman"/>
          <w:sz w:val="24"/>
          <w:szCs w:val="24"/>
          <w:lang w:val="en-GB"/>
        </w:rPr>
        <w:t xml:space="preserve"> of the broader assessment the OTP must perform pursuant to Article 53(1) and 53(2), </w:t>
      </w:r>
      <w:r>
        <w:rPr>
          <w:rFonts w:ascii="Times New Roman" w:hAnsi="Times New Roman" w:cs="Times New Roman"/>
          <w:sz w:val="24"/>
          <w:szCs w:val="24"/>
          <w:lang w:val="en-GB"/>
        </w:rPr>
        <w:t xml:space="preserve">it is arguable—indeed, it is logical—that the </w:t>
      </w:r>
      <w:r w:rsidRPr="00FD1F6E">
        <w:rPr>
          <w:rFonts w:ascii="Times New Roman" w:hAnsi="Times New Roman" w:cs="Times New Roman"/>
          <w:sz w:val="24"/>
          <w:szCs w:val="24"/>
          <w:lang w:val="en-GB"/>
        </w:rPr>
        <w:t xml:space="preserve">same </w:t>
      </w:r>
      <w:r>
        <w:rPr>
          <w:rFonts w:ascii="Times New Roman" w:hAnsi="Times New Roman" w:cs="Times New Roman"/>
          <w:sz w:val="24"/>
          <w:szCs w:val="24"/>
          <w:lang w:val="en-GB"/>
        </w:rPr>
        <w:t xml:space="preserve">approach (ensuring a distinct gradient between the standards in Article 53(1) and (2)) should be applied to </w:t>
      </w:r>
      <w:r w:rsidRPr="00FD1F6E">
        <w:rPr>
          <w:rFonts w:ascii="Times New Roman" w:hAnsi="Times New Roman" w:cs="Times New Roman"/>
          <w:sz w:val="24"/>
          <w:szCs w:val="24"/>
          <w:lang w:val="en-GB"/>
        </w:rPr>
        <w:t>admissibility.</w:t>
      </w:r>
      <w:r w:rsidR="00FB7801" w:rsidRPr="00FD1F6E">
        <w:rPr>
          <w:rStyle w:val="Rimandonotaapidipagina"/>
          <w:rFonts w:ascii="Times New Roman" w:hAnsi="Times New Roman" w:cs="Times New Roman"/>
          <w:sz w:val="24"/>
          <w:szCs w:val="24"/>
          <w:lang w:val="en-GB"/>
        </w:rPr>
        <w:footnoteReference w:id="66"/>
      </w:r>
      <w:r w:rsidR="00567F6C" w:rsidRPr="00FD1F6E">
        <w:rPr>
          <w:rFonts w:ascii="Times New Roman" w:hAnsi="Times New Roman" w:cs="Times New Roman"/>
          <w:sz w:val="24"/>
          <w:szCs w:val="24"/>
          <w:lang w:val="en-GB"/>
        </w:rPr>
        <w:t xml:space="preserve"> </w:t>
      </w:r>
      <w:r w:rsidR="00E936E5" w:rsidRPr="00FD1F6E">
        <w:rPr>
          <w:rFonts w:ascii="Times New Roman" w:hAnsi="Times New Roman" w:cs="Times New Roman"/>
          <w:sz w:val="24"/>
          <w:szCs w:val="24"/>
          <w:lang w:val="en-GB"/>
        </w:rPr>
        <w:t xml:space="preserve">As correctly noted by some authors, the </w:t>
      </w:r>
      <w:r w:rsidR="00B539DE" w:rsidRPr="00FD1F6E">
        <w:rPr>
          <w:rFonts w:ascii="Times New Roman" w:hAnsi="Times New Roman" w:cs="Times New Roman"/>
          <w:sz w:val="24"/>
          <w:szCs w:val="24"/>
          <w:lang w:val="en-GB"/>
        </w:rPr>
        <w:t xml:space="preserve">text envisaged in </w:t>
      </w:r>
      <w:r w:rsidR="00B539DE" w:rsidRPr="00FD1F6E">
        <w:rPr>
          <w:rFonts w:ascii="Times New Roman" w:hAnsi="Times New Roman" w:cs="Times New Roman"/>
          <w:sz w:val="24"/>
          <w:szCs w:val="24"/>
          <w:lang w:val="en-GB"/>
        </w:rPr>
        <w:lastRenderedPageBreak/>
        <w:t xml:space="preserve">Article 53(1)(b) </w:t>
      </w:r>
      <w:r w:rsidR="00E936E5" w:rsidRPr="00FD1F6E">
        <w:rPr>
          <w:rFonts w:ascii="Times New Roman" w:hAnsi="Times New Roman" w:cs="Times New Roman"/>
          <w:sz w:val="24"/>
          <w:szCs w:val="24"/>
          <w:lang w:val="en-GB"/>
        </w:rPr>
        <w:t xml:space="preserve">is </w:t>
      </w:r>
      <w:r w:rsidR="00B539DE" w:rsidRPr="00FD1F6E">
        <w:rPr>
          <w:rFonts w:ascii="Times New Roman" w:hAnsi="Times New Roman" w:cs="Times New Roman"/>
          <w:sz w:val="24"/>
          <w:szCs w:val="24"/>
          <w:lang w:val="en-GB"/>
        </w:rPr>
        <w:t>less</w:t>
      </w:r>
      <w:r w:rsidR="00E936E5" w:rsidRPr="00FD1F6E">
        <w:rPr>
          <w:rFonts w:ascii="Times New Roman" w:hAnsi="Times New Roman" w:cs="Times New Roman"/>
          <w:sz w:val="24"/>
          <w:szCs w:val="24"/>
          <w:lang w:val="en-GB"/>
        </w:rPr>
        <w:t xml:space="preserve"> specific than the standard found in Article 53</w:t>
      </w:r>
      <w:r w:rsidR="00B539DE" w:rsidRPr="00FD1F6E">
        <w:rPr>
          <w:rFonts w:ascii="Times New Roman" w:hAnsi="Times New Roman" w:cs="Times New Roman"/>
          <w:sz w:val="24"/>
          <w:szCs w:val="24"/>
          <w:lang w:val="en-GB"/>
        </w:rPr>
        <w:t>(2)</w:t>
      </w:r>
      <w:r w:rsidR="00E936E5" w:rsidRPr="00FD1F6E">
        <w:rPr>
          <w:rFonts w:ascii="Times New Roman" w:hAnsi="Times New Roman" w:cs="Times New Roman"/>
          <w:sz w:val="24"/>
          <w:szCs w:val="24"/>
          <w:lang w:val="en-GB"/>
        </w:rPr>
        <w:t xml:space="preserve">(b) </w:t>
      </w:r>
      <w:r w:rsidR="00B539DE" w:rsidRPr="00FD1F6E">
        <w:rPr>
          <w:rFonts w:ascii="Times New Roman" w:hAnsi="Times New Roman" w:cs="Times New Roman"/>
          <w:sz w:val="24"/>
          <w:szCs w:val="24"/>
          <w:lang w:val="en-GB"/>
        </w:rPr>
        <w:t>due to the different stages of the proceedings.</w:t>
      </w:r>
      <w:r w:rsidR="00B539DE" w:rsidRPr="00FD1F6E">
        <w:rPr>
          <w:rStyle w:val="Rimandonotaapidipagina"/>
          <w:rFonts w:ascii="Times New Roman" w:hAnsi="Times New Roman" w:cs="Times New Roman"/>
          <w:sz w:val="24"/>
          <w:szCs w:val="24"/>
          <w:lang w:val="en-GB"/>
        </w:rPr>
        <w:footnoteReference w:id="67"/>
      </w:r>
      <w:r w:rsidR="00B539DE" w:rsidRPr="00FD1F6E">
        <w:rPr>
          <w:rFonts w:ascii="Times New Roman" w:hAnsi="Times New Roman" w:cs="Times New Roman"/>
          <w:sz w:val="24"/>
          <w:szCs w:val="24"/>
          <w:lang w:val="en-GB"/>
        </w:rPr>
        <w:t xml:space="preserve"> This idea could also be inferred from a passage of PTC I’s decision, wh</w:t>
      </w:r>
      <w:r w:rsidR="005568E3">
        <w:rPr>
          <w:rFonts w:ascii="Times New Roman" w:hAnsi="Times New Roman" w:cs="Times New Roman"/>
          <w:sz w:val="24"/>
          <w:szCs w:val="24"/>
          <w:lang w:val="en-GB"/>
        </w:rPr>
        <w:t xml:space="preserve">erein </w:t>
      </w:r>
      <w:r w:rsidR="00B539DE" w:rsidRPr="00FD1F6E">
        <w:rPr>
          <w:rFonts w:ascii="Times New Roman" w:hAnsi="Times New Roman" w:cs="Times New Roman"/>
          <w:sz w:val="24"/>
          <w:szCs w:val="24"/>
          <w:lang w:val="en-GB"/>
        </w:rPr>
        <w:t xml:space="preserve">PTC I emphasised that it had to make reference to the ICC </w:t>
      </w:r>
      <w:r w:rsidR="005568E3">
        <w:rPr>
          <w:rFonts w:ascii="Times New Roman" w:hAnsi="Times New Roman" w:cs="Times New Roman"/>
          <w:sz w:val="24"/>
          <w:szCs w:val="24"/>
          <w:lang w:val="en-GB"/>
        </w:rPr>
        <w:t>case law</w:t>
      </w:r>
      <w:r w:rsidR="00B539DE" w:rsidRPr="00FD1F6E">
        <w:rPr>
          <w:rFonts w:ascii="Times New Roman" w:hAnsi="Times New Roman" w:cs="Times New Roman"/>
          <w:sz w:val="24"/>
          <w:szCs w:val="24"/>
          <w:lang w:val="en-GB"/>
        </w:rPr>
        <w:t xml:space="preserve"> regarding the gravity assessment particularly at the preliminary examination stage.</w:t>
      </w:r>
      <w:r w:rsidR="00B539DE" w:rsidRPr="00FD1F6E">
        <w:rPr>
          <w:rStyle w:val="Rimandonotaapidipagina"/>
          <w:rFonts w:ascii="Times New Roman" w:hAnsi="Times New Roman" w:cs="Times New Roman"/>
          <w:sz w:val="24"/>
          <w:szCs w:val="24"/>
          <w:lang w:val="en-GB"/>
        </w:rPr>
        <w:footnoteReference w:id="68"/>
      </w:r>
    </w:p>
    <w:p w:rsidR="006D43E1" w:rsidRDefault="006D43E1" w:rsidP="00B552BA">
      <w:pPr>
        <w:spacing w:after="0" w:line="360" w:lineRule="auto"/>
        <w:jc w:val="both"/>
        <w:rPr>
          <w:rFonts w:ascii="Times New Roman" w:hAnsi="Times New Roman" w:cs="Times New Roman"/>
          <w:sz w:val="24"/>
          <w:szCs w:val="24"/>
          <w:lang w:val="en-GB"/>
        </w:rPr>
      </w:pPr>
    </w:p>
    <w:p w:rsidR="006D43E1" w:rsidRDefault="00881692" w:rsidP="00B552BA">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Moreover, this </w:t>
      </w:r>
      <w:r w:rsidR="006D43E1">
        <w:rPr>
          <w:rFonts w:ascii="Times New Roman" w:hAnsi="Times New Roman" w:cs="Times New Roman"/>
          <w:sz w:val="24"/>
          <w:szCs w:val="24"/>
          <w:lang w:val="en-GB"/>
        </w:rPr>
        <w:t>view</w:t>
      </w:r>
      <w:r w:rsidRPr="00FD1F6E">
        <w:rPr>
          <w:rFonts w:ascii="Times New Roman" w:hAnsi="Times New Roman" w:cs="Times New Roman"/>
          <w:sz w:val="24"/>
          <w:szCs w:val="24"/>
          <w:lang w:val="en-GB"/>
        </w:rPr>
        <w:t xml:space="preserve"> is consistent with the rules on treaty interpretation: </w:t>
      </w:r>
      <w:r w:rsidR="006D43E1">
        <w:rPr>
          <w:rFonts w:ascii="Times New Roman" w:hAnsi="Times New Roman" w:cs="Times New Roman"/>
          <w:sz w:val="24"/>
          <w:szCs w:val="24"/>
          <w:lang w:val="en-GB"/>
        </w:rPr>
        <w:t xml:space="preserve">Article 53(1)(b) should be interpreted in light of its context, which includes </w:t>
      </w:r>
      <w:r w:rsidR="006D43E1" w:rsidRPr="00FD1F6E">
        <w:rPr>
          <w:rFonts w:ascii="Times New Roman" w:hAnsi="Times New Roman" w:cs="Times New Roman"/>
          <w:sz w:val="24"/>
          <w:szCs w:val="24"/>
          <w:lang w:val="en-GB"/>
        </w:rPr>
        <w:t xml:space="preserve">the lower threshold </w:t>
      </w:r>
      <w:r w:rsidR="006D43E1">
        <w:rPr>
          <w:rFonts w:ascii="Times New Roman" w:hAnsi="Times New Roman" w:cs="Times New Roman"/>
          <w:sz w:val="24"/>
          <w:szCs w:val="24"/>
          <w:lang w:val="en-GB"/>
        </w:rPr>
        <w:t>manifest in Article 53(1)(a) compared to Article 53(2)(a)</w:t>
      </w:r>
      <w:r w:rsidR="006D43E1" w:rsidRPr="00FD1F6E">
        <w:rPr>
          <w:rFonts w:ascii="Times New Roman" w:hAnsi="Times New Roman" w:cs="Times New Roman"/>
          <w:sz w:val="24"/>
          <w:szCs w:val="24"/>
          <w:lang w:val="en-GB"/>
        </w:rPr>
        <w:t xml:space="preserve">. </w:t>
      </w:r>
      <w:r w:rsidR="006D43E1">
        <w:rPr>
          <w:rFonts w:ascii="Times New Roman" w:hAnsi="Times New Roman" w:cs="Times New Roman"/>
          <w:sz w:val="24"/>
          <w:szCs w:val="24"/>
          <w:lang w:val="en-GB"/>
        </w:rPr>
        <w:t>Likewise, a</w:t>
      </w:r>
      <w:r w:rsidR="003F693C" w:rsidRPr="00FD1F6E">
        <w:rPr>
          <w:rFonts w:ascii="Times New Roman" w:hAnsi="Times New Roman" w:cs="Times New Roman"/>
          <w:sz w:val="24"/>
          <w:szCs w:val="24"/>
          <w:lang w:val="en-GB"/>
        </w:rPr>
        <w:t>s the ICC has emphasised in its case law, the admissibility assessment at this stage ‘cannot be conducted against the backdrop of a concrete case, as prior to the start of an actual investigation it is not possible to define the exact parameters of the case(s) in terms of conduct and identified suspects</w:t>
      </w:r>
      <w:r w:rsidR="00D808EE" w:rsidRPr="00FD1F6E">
        <w:rPr>
          <w:rFonts w:ascii="Times New Roman" w:hAnsi="Times New Roman" w:cs="Times New Roman"/>
          <w:sz w:val="24"/>
          <w:szCs w:val="24"/>
          <w:lang w:val="en-GB"/>
        </w:rPr>
        <w:t xml:space="preserve"> for the purpose of prosecution’, and, accordingly, ‘determination of admissibility at this stage must be under</w:t>
      </w:r>
      <w:r w:rsidR="006D43E1">
        <w:rPr>
          <w:rFonts w:ascii="Times New Roman" w:hAnsi="Times New Roman" w:cs="Times New Roman"/>
          <w:sz w:val="24"/>
          <w:szCs w:val="24"/>
          <w:lang w:val="en-GB"/>
        </w:rPr>
        <w:t>taken with respect to ‘</w:t>
      </w:r>
      <w:r w:rsidR="00D808EE" w:rsidRPr="00FD1F6E">
        <w:rPr>
          <w:rFonts w:ascii="Times New Roman" w:hAnsi="Times New Roman" w:cs="Times New Roman"/>
          <w:sz w:val="24"/>
          <w:szCs w:val="24"/>
          <w:lang w:val="en-GB"/>
        </w:rPr>
        <w:t>potential cases</w:t>
      </w:r>
      <w:r w:rsidR="006D43E1">
        <w:rPr>
          <w:rFonts w:ascii="Times New Roman" w:hAnsi="Times New Roman" w:cs="Times New Roman"/>
          <w:sz w:val="24"/>
          <w:szCs w:val="24"/>
          <w:lang w:val="en-GB"/>
        </w:rPr>
        <w:t>’</w:t>
      </w:r>
      <w:r w:rsidR="00D808EE" w:rsidRPr="00FD1F6E">
        <w:rPr>
          <w:rFonts w:ascii="Times New Roman" w:hAnsi="Times New Roman" w:cs="Times New Roman"/>
          <w:sz w:val="24"/>
          <w:szCs w:val="24"/>
          <w:lang w:val="en-GB"/>
        </w:rPr>
        <w:t>’.</w:t>
      </w:r>
      <w:r w:rsidR="00D808EE" w:rsidRPr="00FD1F6E">
        <w:rPr>
          <w:rStyle w:val="Rimandonotaapidipagina"/>
          <w:rFonts w:ascii="Times New Roman" w:hAnsi="Times New Roman" w:cs="Times New Roman"/>
          <w:sz w:val="24"/>
          <w:szCs w:val="24"/>
          <w:lang w:val="en-GB"/>
        </w:rPr>
        <w:footnoteReference w:id="69"/>
      </w:r>
    </w:p>
    <w:p w:rsidR="00FB7801" w:rsidRPr="00FD1F6E" w:rsidRDefault="00FB7801" w:rsidP="00B552BA">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 </w:t>
      </w:r>
    </w:p>
    <w:p w:rsidR="008F16AA" w:rsidRPr="00FD1F6E" w:rsidRDefault="00EB279E" w:rsidP="00B552BA">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The fact that both Article 53(1)(b) and</w:t>
      </w:r>
      <w:r w:rsidR="00903101" w:rsidRPr="00FD1F6E">
        <w:rPr>
          <w:rFonts w:ascii="Times New Roman" w:hAnsi="Times New Roman" w:cs="Times New Roman"/>
          <w:sz w:val="24"/>
          <w:szCs w:val="24"/>
          <w:lang w:val="en-GB"/>
        </w:rPr>
        <w:t xml:space="preserve"> Article</w:t>
      </w:r>
      <w:r w:rsidRPr="00FD1F6E">
        <w:rPr>
          <w:rFonts w:ascii="Times New Roman" w:hAnsi="Times New Roman" w:cs="Times New Roman"/>
          <w:sz w:val="24"/>
          <w:szCs w:val="24"/>
          <w:lang w:val="en-GB"/>
        </w:rPr>
        <w:t xml:space="preserve"> 53(2)(b) refer to admissibility / inadmissibility under Article 17 do</w:t>
      </w:r>
      <w:r w:rsidR="00DF0067" w:rsidRPr="00FD1F6E">
        <w:rPr>
          <w:rFonts w:ascii="Times New Roman" w:hAnsi="Times New Roman" w:cs="Times New Roman"/>
          <w:sz w:val="24"/>
          <w:szCs w:val="24"/>
          <w:lang w:val="en-GB"/>
        </w:rPr>
        <w:t xml:space="preserve">es not prevent </w:t>
      </w:r>
      <w:r w:rsidRPr="00FD1F6E">
        <w:rPr>
          <w:rFonts w:ascii="Times New Roman" w:hAnsi="Times New Roman" w:cs="Times New Roman"/>
          <w:sz w:val="24"/>
          <w:szCs w:val="24"/>
          <w:lang w:val="en-GB"/>
        </w:rPr>
        <w:t>th</w:t>
      </w:r>
      <w:r w:rsidR="00903101" w:rsidRPr="00FD1F6E">
        <w:rPr>
          <w:rFonts w:ascii="Times New Roman" w:hAnsi="Times New Roman" w:cs="Times New Roman"/>
          <w:sz w:val="24"/>
          <w:szCs w:val="24"/>
          <w:lang w:val="en-GB"/>
        </w:rPr>
        <w:t>e application of a different standard</w:t>
      </w:r>
      <w:r w:rsidR="006D43E1">
        <w:rPr>
          <w:rFonts w:ascii="Times New Roman" w:hAnsi="Times New Roman" w:cs="Times New Roman"/>
          <w:sz w:val="24"/>
          <w:szCs w:val="24"/>
          <w:lang w:val="en-GB"/>
        </w:rPr>
        <w:t xml:space="preserve"> between them</w:t>
      </w:r>
      <w:r w:rsidR="00903101" w:rsidRPr="00FD1F6E">
        <w:rPr>
          <w:rFonts w:ascii="Times New Roman" w:hAnsi="Times New Roman" w:cs="Times New Roman"/>
          <w:sz w:val="24"/>
          <w:szCs w:val="24"/>
          <w:lang w:val="en-GB"/>
        </w:rPr>
        <w:t>. It is well established in international law that</w:t>
      </w:r>
      <w:r w:rsidR="009931EF" w:rsidRPr="00FD1F6E">
        <w:rPr>
          <w:rFonts w:ascii="Times New Roman" w:hAnsi="Times New Roman" w:cs="Times New Roman"/>
          <w:sz w:val="24"/>
          <w:szCs w:val="24"/>
          <w:lang w:val="en-GB"/>
        </w:rPr>
        <w:t xml:space="preserve"> there is not a hierarchy between the principles of interpretation embodied in the general rule of interpretation, since Article 31 of the VCLT ‘does not describe some hierarchical or chronological order in which [textual, contextual</w:t>
      </w:r>
      <w:r w:rsidR="005568E3">
        <w:rPr>
          <w:rFonts w:ascii="Times New Roman" w:hAnsi="Times New Roman" w:cs="Times New Roman"/>
          <w:sz w:val="24"/>
          <w:szCs w:val="24"/>
          <w:lang w:val="en-GB"/>
        </w:rPr>
        <w:t>,</w:t>
      </w:r>
      <w:r w:rsidR="009931EF" w:rsidRPr="00FD1F6E">
        <w:rPr>
          <w:rFonts w:ascii="Times New Roman" w:hAnsi="Times New Roman" w:cs="Times New Roman"/>
          <w:sz w:val="24"/>
          <w:szCs w:val="24"/>
          <w:lang w:val="en-GB"/>
        </w:rPr>
        <w:t xml:space="preserve"> and teleological] principles are to be applied, but sets the stage for a single combined operation taking into account all the elements simultaneously’.</w:t>
      </w:r>
      <w:r w:rsidR="009931EF" w:rsidRPr="00FD1F6E">
        <w:rPr>
          <w:rStyle w:val="Rimandonotaapidipagina"/>
          <w:rFonts w:ascii="Times New Roman" w:hAnsi="Times New Roman" w:cs="Times New Roman"/>
          <w:sz w:val="24"/>
          <w:szCs w:val="24"/>
          <w:lang w:val="en-GB"/>
        </w:rPr>
        <w:footnoteReference w:id="70"/>
      </w:r>
      <w:r w:rsidR="009931EF" w:rsidRPr="00FD1F6E">
        <w:rPr>
          <w:rFonts w:ascii="Times New Roman" w:hAnsi="Times New Roman" w:cs="Times New Roman"/>
          <w:sz w:val="24"/>
          <w:szCs w:val="24"/>
          <w:lang w:val="en-GB"/>
        </w:rPr>
        <w:t xml:space="preserve">  </w:t>
      </w:r>
      <w:r w:rsidR="00313FE3" w:rsidRPr="00FD1F6E">
        <w:rPr>
          <w:rFonts w:ascii="Times New Roman" w:hAnsi="Times New Roman" w:cs="Times New Roman"/>
          <w:sz w:val="24"/>
          <w:szCs w:val="24"/>
          <w:lang w:val="en-GB"/>
        </w:rPr>
        <w:t xml:space="preserve">Accordingly, the fact that the texts of Article 53(1)(b) and Article 53(2)(b) are very similar is not a hindrance for a different interpretation on the basis of the relevant context. </w:t>
      </w:r>
    </w:p>
    <w:p w:rsidR="006D43E1" w:rsidRDefault="006D43E1" w:rsidP="007149B9">
      <w:pPr>
        <w:spacing w:after="0" w:line="360" w:lineRule="auto"/>
        <w:jc w:val="both"/>
        <w:rPr>
          <w:rFonts w:ascii="Times New Roman" w:hAnsi="Times New Roman" w:cs="Times New Roman"/>
          <w:sz w:val="24"/>
          <w:szCs w:val="24"/>
          <w:lang w:val="en-GB"/>
        </w:rPr>
      </w:pPr>
    </w:p>
    <w:p w:rsidR="00E83D0F" w:rsidRDefault="006D43E1" w:rsidP="007149B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Furthermore</w:t>
      </w:r>
      <w:r w:rsidR="00313FE3" w:rsidRPr="00FD1F6E">
        <w:rPr>
          <w:rFonts w:ascii="Times New Roman" w:hAnsi="Times New Roman" w:cs="Times New Roman"/>
          <w:sz w:val="24"/>
          <w:szCs w:val="24"/>
          <w:lang w:val="en-GB"/>
        </w:rPr>
        <w:t>,</w:t>
      </w:r>
      <w:r w:rsidR="00DF0067" w:rsidRPr="00FD1F6E">
        <w:rPr>
          <w:rFonts w:ascii="Times New Roman" w:hAnsi="Times New Roman" w:cs="Times New Roman"/>
          <w:sz w:val="24"/>
          <w:szCs w:val="24"/>
          <w:lang w:val="en-GB"/>
        </w:rPr>
        <w:t xml:space="preserve"> these provisions are</w:t>
      </w:r>
      <w:r w:rsidR="00B30F14" w:rsidRPr="00FD1F6E">
        <w:rPr>
          <w:rFonts w:ascii="Times New Roman" w:hAnsi="Times New Roman" w:cs="Times New Roman"/>
          <w:sz w:val="24"/>
          <w:szCs w:val="24"/>
          <w:lang w:val="en-GB"/>
        </w:rPr>
        <w:t xml:space="preserve"> similar but not identical; an authori</w:t>
      </w:r>
      <w:r w:rsidR="00DF0067" w:rsidRPr="00FD1F6E">
        <w:rPr>
          <w:rFonts w:ascii="Times New Roman" w:hAnsi="Times New Roman" w:cs="Times New Roman"/>
          <w:sz w:val="24"/>
          <w:szCs w:val="24"/>
          <w:lang w:val="en-GB"/>
        </w:rPr>
        <w:t>tative commentator</w:t>
      </w:r>
      <w:r w:rsidR="00B30F14" w:rsidRPr="00FD1F6E">
        <w:rPr>
          <w:rFonts w:ascii="Times New Roman" w:hAnsi="Times New Roman" w:cs="Times New Roman"/>
          <w:sz w:val="24"/>
          <w:szCs w:val="24"/>
          <w:lang w:val="en-GB"/>
        </w:rPr>
        <w:t>, affirm</w:t>
      </w:r>
      <w:r>
        <w:rPr>
          <w:rFonts w:ascii="Times New Roman" w:hAnsi="Times New Roman" w:cs="Times New Roman"/>
          <w:sz w:val="24"/>
          <w:szCs w:val="24"/>
          <w:lang w:val="en-GB"/>
        </w:rPr>
        <w:t>ing</w:t>
      </w:r>
      <w:r w:rsidR="00B30F14" w:rsidRPr="00FD1F6E">
        <w:rPr>
          <w:rFonts w:ascii="Times New Roman" w:hAnsi="Times New Roman" w:cs="Times New Roman"/>
          <w:sz w:val="24"/>
          <w:szCs w:val="24"/>
          <w:lang w:val="en-GB"/>
        </w:rPr>
        <w:t xml:space="preserve"> that the text under Article 53(1)(a) is less demanding than in the case under Article 53(2)(a), </w:t>
      </w:r>
      <w:r>
        <w:rPr>
          <w:rFonts w:ascii="Times New Roman" w:hAnsi="Times New Roman" w:cs="Times New Roman"/>
          <w:sz w:val="24"/>
          <w:szCs w:val="24"/>
          <w:lang w:val="en-GB"/>
        </w:rPr>
        <w:t>likewise</w:t>
      </w:r>
      <w:r w:rsidR="00B30F14" w:rsidRPr="00FD1F6E">
        <w:rPr>
          <w:rFonts w:ascii="Times New Roman" w:hAnsi="Times New Roman" w:cs="Times New Roman"/>
          <w:sz w:val="24"/>
          <w:szCs w:val="24"/>
          <w:lang w:val="en-GB"/>
        </w:rPr>
        <w:t xml:space="preserve"> </w:t>
      </w:r>
      <w:r w:rsidR="00DF0067" w:rsidRPr="00FD1F6E">
        <w:rPr>
          <w:rFonts w:ascii="Times New Roman" w:hAnsi="Times New Roman" w:cs="Times New Roman"/>
          <w:sz w:val="24"/>
          <w:szCs w:val="24"/>
          <w:lang w:val="en-GB"/>
        </w:rPr>
        <w:t>concludes</w:t>
      </w:r>
      <w:r w:rsidR="00B30F14" w:rsidRPr="00FD1F6E">
        <w:rPr>
          <w:rFonts w:ascii="Times New Roman" w:hAnsi="Times New Roman" w:cs="Times New Roman"/>
          <w:sz w:val="24"/>
          <w:szCs w:val="24"/>
          <w:lang w:val="en-GB"/>
        </w:rPr>
        <w:t xml:space="preserve"> that ‘[t]he language in article 53(2)(b) is slightly diff</w:t>
      </w:r>
      <w:r>
        <w:rPr>
          <w:rFonts w:ascii="Times New Roman" w:hAnsi="Times New Roman" w:cs="Times New Roman"/>
          <w:sz w:val="24"/>
          <w:szCs w:val="24"/>
          <w:lang w:val="en-GB"/>
        </w:rPr>
        <w:t>erent, demanding that the case ‘is admissible’</w:t>
      </w:r>
      <w:r w:rsidR="00B30F14" w:rsidRPr="00FD1F6E">
        <w:rPr>
          <w:rFonts w:ascii="Times New Roman" w:hAnsi="Times New Roman" w:cs="Times New Roman"/>
          <w:sz w:val="24"/>
          <w:szCs w:val="24"/>
          <w:lang w:val="en-GB"/>
        </w:rPr>
        <w:t xml:space="preserve">, whereas under article 53(1)(b) the Prosecutor is to consider whether the </w:t>
      </w:r>
      <w:r>
        <w:rPr>
          <w:rFonts w:ascii="Times New Roman" w:hAnsi="Times New Roman" w:cs="Times New Roman"/>
          <w:sz w:val="24"/>
          <w:szCs w:val="24"/>
          <w:lang w:val="en-GB"/>
        </w:rPr>
        <w:t>‘case is or would be admissible’</w:t>
      </w:r>
      <w:r w:rsidR="00B30F14" w:rsidRPr="00FD1F6E">
        <w:rPr>
          <w:rFonts w:ascii="Times New Roman" w:hAnsi="Times New Roman" w:cs="Times New Roman"/>
          <w:sz w:val="24"/>
          <w:szCs w:val="24"/>
          <w:lang w:val="en-GB"/>
        </w:rPr>
        <w:t xml:space="preserve">. </w:t>
      </w:r>
      <w:r w:rsidR="00B30F14" w:rsidRPr="006D43E1">
        <w:rPr>
          <w:rFonts w:ascii="Times New Roman" w:hAnsi="Times New Roman" w:cs="Times New Roman"/>
          <w:sz w:val="24"/>
          <w:szCs w:val="24"/>
          <w:lang w:val="en-GB"/>
        </w:rPr>
        <w:t xml:space="preserve">This reflects the fact that the Prosecutor is at a different stage in </w:t>
      </w:r>
      <w:r w:rsidR="00882218" w:rsidRPr="006D43E1">
        <w:rPr>
          <w:rFonts w:ascii="Times New Roman" w:hAnsi="Times New Roman" w:cs="Times New Roman"/>
          <w:sz w:val="24"/>
          <w:szCs w:val="24"/>
          <w:lang w:val="en-GB"/>
        </w:rPr>
        <w:t>h</w:t>
      </w:r>
      <w:r w:rsidR="00B30F14" w:rsidRPr="006D43E1">
        <w:rPr>
          <w:rFonts w:ascii="Times New Roman" w:hAnsi="Times New Roman" w:cs="Times New Roman"/>
          <w:sz w:val="24"/>
          <w:szCs w:val="24"/>
          <w:lang w:val="en-GB"/>
        </w:rPr>
        <w:t>is work under each provision</w:t>
      </w:r>
      <w:r w:rsidR="00E83D0F">
        <w:rPr>
          <w:rFonts w:ascii="Times New Roman" w:hAnsi="Times New Roman" w:cs="Times New Roman"/>
          <w:sz w:val="24"/>
          <w:szCs w:val="24"/>
          <w:lang w:val="en-GB"/>
        </w:rPr>
        <w:t>.</w:t>
      </w:r>
      <w:r>
        <w:rPr>
          <w:rFonts w:ascii="Times New Roman" w:hAnsi="Times New Roman" w:cs="Times New Roman"/>
          <w:sz w:val="24"/>
          <w:szCs w:val="24"/>
          <w:lang w:val="en-GB"/>
        </w:rPr>
        <w:t>’</w:t>
      </w:r>
      <w:r w:rsidR="00B30F14" w:rsidRPr="00FD1F6E">
        <w:rPr>
          <w:rStyle w:val="Rimandonotaapidipagina"/>
          <w:rFonts w:ascii="Times New Roman" w:hAnsi="Times New Roman" w:cs="Times New Roman"/>
          <w:sz w:val="24"/>
          <w:szCs w:val="24"/>
          <w:lang w:val="en-GB"/>
        </w:rPr>
        <w:footnoteReference w:id="71"/>
      </w:r>
      <w:r w:rsidR="00B30F14" w:rsidRPr="00FD1F6E">
        <w:rPr>
          <w:rFonts w:ascii="Times New Roman" w:hAnsi="Times New Roman" w:cs="Times New Roman"/>
          <w:sz w:val="24"/>
          <w:szCs w:val="24"/>
          <w:lang w:val="en-GB"/>
        </w:rPr>
        <w:t xml:space="preserve"> </w:t>
      </w:r>
    </w:p>
    <w:p w:rsidR="00E83D0F" w:rsidRDefault="00E83D0F" w:rsidP="007149B9">
      <w:pPr>
        <w:spacing w:after="0" w:line="360" w:lineRule="auto"/>
        <w:jc w:val="both"/>
        <w:rPr>
          <w:rFonts w:ascii="Times New Roman" w:hAnsi="Times New Roman" w:cs="Times New Roman"/>
          <w:sz w:val="24"/>
          <w:szCs w:val="24"/>
          <w:lang w:val="en-GB"/>
        </w:rPr>
      </w:pPr>
    </w:p>
    <w:p w:rsidR="00E83D0F" w:rsidRDefault="00E83D0F" w:rsidP="007149B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Accordingly, for all these reasons, i</w:t>
      </w:r>
      <w:r w:rsidRPr="00FD1F6E">
        <w:rPr>
          <w:rFonts w:ascii="Times New Roman" w:hAnsi="Times New Roman" w:cs="Times New Roman"/>
          <w:sz w:val="24"/>
          <w:szCs w:val="24"/>
          <w:lang w:val="en-GB"/>
        </w:rPr>
        <w:t xml:space="preserve">n the </w:t>
      </w:r>
      <w:r w:rsidRPr="00FD1F6E">
        <w:rPr>
          <w:rFonts w:ascii="Times New Roman" w:hAnsi="Times New Roman" w:cs="Times New Roman"/>
          <w:i/>
          <w:sz w:val="24"/>
          <w:szCs w:val="24"/>
          <w:lang w:val="en-GB"/>
        </w:rPr>
        <w:t>Mavi Marmara</w:t>
      </w:r>
      <w:r w:rsidRPr="00FD1F6E">
        <w:rPr>
          <w:rFonts w:ascii="Times New Roman" w:hAnsi="Times New Roman" w:cs="Times New Roman"/>
          <w:sz w:val="24"/>
          <w:szCs w:val="24"/>
          <w:lang w:val="en-GB"/>
        </w:rPr>
        <w:t xml:space="preserve"> affair, the OTP should have taken into account the lower threshold required </w:t>
      </w:r>
      <w:r>
        <w:rPr>
          <w:rFonts w:ascii="Times New Roman" w:hAnsi="Times New Roman" w:cs="Times New Roman"/>
          <w:sz w:val="24"/>
          <w:szCs w:val="24"/>
          <w:lang w:val="en-GB"/>
        </w:rPr>
        <w:t xml:space="preserve">to establish admissibility — including sufficient gravity — </w:t>
      </w:r>
      <w:r w:rsidRPr="00FD1F6E">
        <w:rPr>
          <w:rFonts w:ascii="Times New Roman" w:hAnsi="Times New Roman" w:cs="Times New Roman"/>
          <w:sz w:val="24"/>
          <w:szCs w:val="24"/>
          <w:lang w:val="en-GB"/>
        </w:rPr>
        <w:t>at the preliminary examination stage</w:t>
      </w:r>
      <w:r w:rsidR="007149B9" w:rsidRPr="00FD1F6E">
        <w:rPr>
          <w:rFonts w:ascii="Times New Roman" w:hAnsi="Times New Roman" w:cs="Times New Roman"/>
          <w:sz w:val="24"/>
          <w:szCs w:val="24"/>
          <w:lang w:val="en-GB"/>
        </w:rPr>
        <w:t>.</w:t>
      </w:r>
    </w:p>
    <w:p w:rsidR="00FD1F6E" w:rsidRPr="00FD1F6E" w:rsidRDefault="007149B9" w:rsidP="007149B9">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 </w:t>
      </w:r>
    </w:p>
    <w:p w:rsidR="007149B9" w:rsidRPr="00FD1F6E" w:rsidRDefault="007149B9" w:rsidP="007149B9">
      <w:pPr>
        <w:spacing w:after="0" w:line="360" w:lineRule="auto"/>
        <w:jc w:val="both"/>
        <w:rPr>
          <w:rFonts w:ascii="Times New Roman" w:hAnsi="Times New Roman" w:cs="Times New Roman"/>
          <w:sz w:val="24"/>
          <w:szCs w:val="24"/>
          <w:highlight w:val="yellow"/>
          <w:lang w:val="en-GB"/>
        </w:rPr>
      </w:pPr>
      <w:r w:rsidRPr="00FD1F6E">
        <w:rPr>
          <w:rFonts w:ascii="Times New Roman" w:hAnsi="Times New Roman" w:cs="Times New Roman"/>
          <w:sz w:val="24"/>
          <w:szCs w:val="24"/>
          <w:lang w:val="en-GB"/>
        </w:rPr>
        <w:t xml:space="preserve">In this author’s opinion, there is room </w:t>
      </w:r>
      <w:r w:rsidR="00882218">
        <w:rPr>
          <w:rFonts w:ascii="Times New Roman" w:hAnsi="Times New Roman" w:cs="Times New Roman"/>
          <w:sz w:val="24"/>
          <w:szCs w:val="24"/>
          <w:lang w:val="en-GB"/>
        </w:rPr>
        <w:t xml:space="preserve">to </w:t>
      </w:r>
      <w:r w:rsidRPr="00FD1F6E">
        <w:rPr>
          <w:rFonts w:ascii="Times New Roman" w:hAnsi="Times New Roman" w:cs="Times New Roman"/>
          <w:sz w:val="24"/>
          <w:szCs w:val="24"/>
          <w:lang w:val="en-GB"/>
        </w:rPr>
        <w:t xml:space="preserve">argue that the OTP’s conclusion on the lack </w:t>
      </w:r>
      <w:r w:rsidR="00882218">
        <w:rPr>
          <w:rFonts w:ascii="Times New Roman" w:hAnsi="Times New Roman" w:cs="Times New Roman"/>
          <w:sz w:val="24"/>
          <w:szCs w:val="24"/>
          <w:lang w:val="en-GB"/>
        </w:rPr>
        <w:t>of</w:t>
      </w:r>
      <w:r w:rsidRPr="00FD1F6E">
        <w:rPr>
          <w:rFonts w:ascii="Times New Roman" w:hAnsi="Times New Roman" w:cs="Times New Roman"/>
          <w:sz w:val="24"/>
          <w:szCs w:val="24"/>
          <w:lang w:val="en-GB"/>
        </w:rPr>
        <w:t xml:space="preserve"> sufficient gravity is the outcome </w:t>
      </w:r>
      <w:r w:rsidR="00882218">
        <w:rPr>
          <w:rFonts w:ascii="Times New Roman" w:hAnsi="Times New Roman" w:cs="Times New Roman"/>
          <w:sz w:val="24"/>
          <w:szCs w:val="24"/>
          <w:lang w:val="en-GB"/>
        </w:rPr>
        <w:t>of</w:t>
      </w:r>
      <w:r w:rsidRPr="00FD1F6E">
        <w:rPr>
          <w:rFonts w:ascii="Times New Roman" w:hAnsi="Times New Roman" w:cs="Times New Roman"/>
          <w:sz w:val="24"/>
          <w:szCs w:val="24"/>
          <w:lang w:val="en-GB"/>
        </w:rPr>
        <w:t xml:space="preserve"> an assessment affect</w:t>
      </w:r>
      <w:r w:rsidR="00E83D0F">
        <w:rPr>
          <w:rFonts w:ascii="Times New Roman" w:hAnsi="Times New Roman" w:cs="Times New Roman"/>
          <w:sz w:val="24"/>
          <w:szCs w:val="24"/>
          <w:lang w:val="en-GB"/>
        </w:rPr>
        <w:t>ed by a certain degree of doubt</w:t>
      </w:r>
      <w:r w:rsidRPr="00FD1F6E">
        <w:rPr>
          <w:rFonts w:ascii="Times New Roman" w:hAnsi="Times New Roman" w:cs="Times New Roman"/>
          <w:sz w:val="24"/>
          <w:szCs w:val="24"/>
          <w:lang w:val="en-GB"/>
        </w:rPr>
        <w:t xml:space="preserve"> regarding relevant circumstances. The existence of th</w:t>
      </w:r>
      <w:r w:rsidR="00E83D0F">
        <w:rPr>
          <w:rFonts w:ascii="Times New Roman" w:hAnsi="Times New Roman" w:cs="Times New Roman"/>
          <w:sz w:val="24"/>
          <w:szCs w:val="24"/>
          <w:lang w:val="en-GB"/>
        </w:rPr>
        <w:t>is doubt, and its meaning,</w:t>
      </w:r>
      <w:r w:rsidR="00E83D0F" w:rsidRPr="00FD1F6E">
        <w:rPr>
          <w:rFonts w:ascii="Times New Roman" w:hAnsi="Times New Roman" w:cs="Times New Roman"/>
          <w:sz w:val="24"/>
          <w:szCs w:val="24"/>
          <w:lang w:val="en-GB"/>
        </w:rPr>
        <w:t xml:space="preserve"> is </w:t>
      </w:r>
      <w:r w:rsidR="00E83D0F">
        <w:rPr>
          <w:rFonts w:ascii="Times New Roman" w:hAnsi="Times New Roman" w:cs="Times New Roman"/>
          <w:sz w:val="24"/>
          <w:szCs w:val="24"/>
          <w:lang w:val="en-GB"/>
        </w:rPr>
        <w:t>itself ambiguous — yet another difference of opinion which seems to have become apparent between PTC I and the OTP concerns precisely this question. A</w:t>
      </w:r>
      <w:r w:rsidR="00E83D0F" w:rsidRPr="00FD1F6E">
        <w:rPr>
          <w:rFonts w:ascii="Times New Roman" w:hAnsi="Times New Roman" w:cs="Times New Roman"/>
          <w:sz w:val="24"/>
          <w:szCs w:val="24"/>
          <w:lang w:val="en-GB"/>
        </w:rPr>
        <w:t xml:space="preserve">s explained </w:t>
      </w:r>
      <w:r w:rsidR="00E83D0F">
        <w:rPr>
          <w:rFonts w:ascii="Times New Roman" w:hAnsi="Times New Roman" w:cs="Times New Roman"/>
          <w:sz w:val="24"/>
          <w:szCs w:val="24"/>
          <w:lang w:val="en-GB"/>
        </w:rPr>
        <w:t>in the following paragraphs</w:t>
      </w:r>
      <w:r w:rsidR="00E83D0F" w:rsidRPr="00FD1F6E">
        <w:rPr>
          <w:rFonts w:ascii="Times New Roman" w:hAnsi="Times New Roman" w:cs="Times New Roman"/>
          <w:sz w:val="24"/>
          <w:szCs w:val="24"/>
          <w:lang w:val="en-GB"/>
        </w:rPr>
        <w:t xml:space="preserve">, PTC I </w:t>
      </w:r>
      <w:r w:rsidR="00E83D0F">
        <w:rPr>
          <w:rFonts w:ascii="Times New Roman" w:hAnsi="Times New Roman" w:cs="Times New Roman"/>
          <w:sz w:val="24"/>
          <w:szCs w:val="24"/>
          <w:lang w:val="en-GB"/>
        </w:rPr>
        <w:t xml:space="preserve">understood </w:t>
      </w:r>
      <w:r w:rsidR="00E83D0F" w:rsidRPr="00FD1F6E">
        <w:rPr>
          <w:rFonts w:ascii="Times New Roman" w:hAnsi="Times New Roman" w:cs="Times New Roman"/>
          <w:sz w:val="24"/>
          <w:szCs w:val="24"/>
          <w:lang w:val="en-GB"/>
        </w:rPr>
        <w:t>the Decision Not to Investigate</w:t>
      </w:r>
      <w:r w:rsidR="00E83D0F">
        <w:rPr>
          <w:rFonts w:ascii="Times New Roman" w:hAnsi="Times New Roman" w:cs="Times New Roman"/>
          <w:sz w:val="24"/>
          <w:szCs w:val="24"/>
          <w:lang w:val="en-GB"/>
        </w:rPr>
        <w:t xml:space="preserve"> to reflect</w:t>
      </w:r>
      <w:r w:rsidR="00E83D0F" w:rsidRPr="00FD1F6E">
        <w:rPr>
          <w:rFonts w:ascii="Times New Roman" w:hAnsi="Times New Roman" w:cs="Times New Roman"/>
          <w:sz w:val="24"/>
          <w:szCs w:val="24"/>
          <w:lang w:val="en-GB"/>
        </w:rPr>
        <w:t xml:space="preserve"> the OTP</w:t>
      </w:r>
      <w:r w:rsidR="00E83D0F">
        <w:rPr>
          <w:rFonts w:ascii="Times New Roman" w:hAnsi="Times New Roman" w:cs="Times New Roman"/>
          <w:sz w:val="24"/>
          <w:szCs w:val="24"/>
          <w:lang w:val="en-GB"/>
        </w:rPr>
        <w:t>’s view</w:t>
      </w:r>
      <w:r w:rsidR="00E83D0F" w:rsidRPr="00FD1F6E">
        <w:rPr>
          <w:rFonts w:ascii="Times New Roman" w:hAnsi="Times New Roman" w:cs="Times New Roman"/>
          <w:sz w:val="24"/>
          <w:szCs w:val="24"/>
          <w:lang w:val="en-GB"/>
        </w:rPr>
        <w:t xml:space="preserve"> that it could not make determinations on certain circumstances and, because of this</w:t>
      </w:r>
      <w:r w:rsidR="00E83D0F">
        <w:rPr>
          <w:rFonts w:ascii="Times New Roman" w:hAnsi="Times New Roman" w:cs="Times New Roman"/>
          <w:sz w:val="24"/>
          <w:szCs w:val="24"/>
          <w:lang w:val="en-GB"/>
        </w:rPr>
        <w:t>, abdicated its duty, overlooking that uncertainty favoured an investigation.</w:t>
      </w:r>
      <w:r w:rsidR="00E83D0F" w:rsidRPr="00FD1F6E">
        <w:rPr>
          <w:rFonts w:ascii="Times New Roman" w:hAnsi="Times New Roman" w:cs="Times New Roman"/>
          <w:sz w:val="24"/>
          <w:szCs w:val="24"/>
          <w:lang w:val="en-GB"/>
        </w:rPr>
        <w:t xml:space="preserve"> </w:t>
      </w:r>
      <w:r w:rsidR="00E83D0F">
        <w:rPr>
          <w:rFonts w:ascii="Times New Roman" w:hAnsi="Times New Roman" w:cs="Times New Roman"/>
          <w:sz w:val="24"/>
          <w:szCs w:val="24"/>
          <w:lang w:val="en-GB"/>
        </w:rPr>
        <w:t xml:space="preserve">Conversely, </w:t>
      </w:r>
      <w:r w:rsidR="00E83D0F" w:rsidRPr="00FD1F6E">
        <w:rPr>
          <w:rFonts w:ascii="Times New Roman" w:hAnsi="Times New Roman" w:cs="Times New Roman"/>
          <w:sz w:val="24"/>
          <w:szCs w:val="24"/>
          <w:lang w:val="en-GB"/>
        </w:rPr>
        <w:t xml:space="preserve">the OTP, on the other hand, seems to take the view that the information in its possession </w:t>
      </w:r>
      <w:r w:rsidR="00E83D0F">
        <w:rPr>
          <w:rFonts w:ascii="Times New Roman" w:hAnsi="Times New Roman" w:cs="Times New Roman"/>
          <w:sz w:val="24"/>
          <w:szCs w:val="24"/>
          <w:lang w:val="en-GB"/>
        </w:rPr>
        <w:t xml:space="preserve">simply </w:t>
      </w:r>
      <w:r w:rsidR="00E83D0F" w:rsidRPr="00FD1F6E">
        <w:rPr>
          <w:rFonts w:ascii="Times New Roman" w:hAnsi="Times New Roman" w:cs="Times New Roman"/>
          <w:sz w:val="24"/>
          <w:szCs w:val="24"/>
          <w:lang w:val="en-GB"/>
        </w:rPr>
        <w:t xml:space="preserve">did not meet </w:t>
      </w:r>
      <w:r w:rsidR="00E83D0F">
        <w:rPr>
          <w:rFonts w:ascii="Times New Roman" w:hAnsi="Times New Roman" w:cs="Times New Roman"/>
          <w:sz w:val="24"/>
          <w:szCs w:val="24"/>
          <w:lang w:val="en-GB"/>
        </w:rPr>
        <w:t>the required</w:t>
      </w:r>
      <w:r w:rsidR="00E83D0F" w:rsidRPr="00FD1F6E">
        <w:rPr>
          <w:rFonts w:ascii="Times New Roman" w:hAnsi="Times New Roman" w:cs="Times New Roman"/>
          <w:sz w:val="24"/>
          <w:szCs w:val="24"/>
          <w:lang w:val="en-GB"/>
        </w:rPr>
        <w:t xml:space="preserve"> standard of proof for each of the necessary elements. </w:t>
      </w:r>
      <w:r w:rsidR="00E83D0F">
        <w:rPr>
          <w:rFonts w:ascii="Times New Roman" w:hAnsi="Times New Roman" w:cs="Times New Roman"/>
          <w:sz w:val="24"/>
          <w:szCs w:val="24"/>
          <w:lang w:val="en-GB"/>
        </w:rPr>
        <w:t>It is certainly true that a preliminary</w:t>
      </w:r>
      <w:r w:rsidR="00E83D0F" w:rsidRPr="00FD1F6E">
        <w:rPr>
          <w:rFonts w:ascii="Times New Roman" w:hAnsi="Times New Roman" w:cs="Times New Roman"/>
          <w:sz w:val="24"/>
          <w:szCs w:val="24"/>
          <w:lang w:val="en-GB"/>
        </w:rPr>
        <w:t xml:space="preserve"> examination is a process</w:t>
      </w:r>
      <w:r w:rsidRPr="00FD1F6E">
        <w:rPr>
          <w:rFonts w:ascii="Times New Roman" w:hAnsi="Times New Roman" w:cs="Times New Roman"/>
          <w:sz w:val="24"/>
          <w:szCs w:val="24"/>
          <w:lang w:val="en-GB"/>
        </w:rPr>
        <w:t>.</w:t>
      </w:r>
      <w:r w:rsidRPr="00FD1F6E">
        <w:rPr>
          <w:rStyle w:val="Rimandonotaapidipagina"/>
          <w:rFonts w:ascii="Times New Roman" w:hAnsi="Times New Roman" w:cs="Times New Roman"/>
          <w:sz w:val="24"/>
          <w:szCs w:val="24"/>
          <w:lang w:val="en-GB"/>
        </w:rPr>
        <w:footnoteReference w:id="72"/>
      </w:r>
      <w:r w:rsidRPr="00FD1F6E">
        <w:rPr>
          <w:rFonts w:ascii="Times New Roman" w:hAnsi="Times New Roman" w:cs="Times New Roman"/>
          <w:sz w:val="24"/>
          <w:szCs w:val="24"/>
          <w:lang w:val="en-GB"/>
        </w:rPr>
        <w:t xml:space="preserve"> </w:t>
      </w:r>
      <w:r w:rsidR="00E83D0F">
        <w:rPr>
          <w:rFonts w:ascii="Times New Roman" w:hAnsi="Times New Roman" w:cs="Times New Roman"/>
          <w:sz w:val="24"/>
          <w:szCs w:val="24"/>
          <w:lang w:val="en-GB"/>
        </w:rPr>
        <w:t>Yet</w:t>
      </w:r>
      <w:r w:rsidRPr="00FD1F6E">
        <w:rPr>
          <w:rFonts w:ascii="Times New Roman" w:hAnsi="Times New Roman" w:cs="Times New Roman"/>
          <w:sz w:val="24"/>
          <w:szCs w:val="24"/>
          <w:lang w:val="en-GB"/>
        </w:rPr>
        <w:t xml:space="preserve">, from a textual analysis of this process, this author considers </w:t>
      </w:r>
      <w:r w:rsidR="00E83D0F">
        <w:rPr>
          <w:rFonts w:ascii="Times New Roman" w:hAnsi="Times New Roman" w:cs="Times New Roman"/>
          <w:sz w:val="24"/>
          <w:szCs w:val="24"/>
          <w:lang w:val="en-GB"/>
        </w:rPr>
        <w:t xml:space="preserve">it </w:t>
      </w:r>
      <w:r w:rsidR="00882218" w:rsidRPr="00FD1F6E">
        <w:rPr>
          <w:rFonts w:ascii="Times New Roman" w:hAnsi="Times New Roman" w:cs="Times New Roman"/>
          <w:sz w:val="24"/>
          <w:szCs w:val="24"/>
          <w:lang w:val="en-GB"/>
        </w:rPr>
        <w:t xml:space="preserve">to be </w:t>
      </w:r>
      <w:r w:rsidRPr="00FD1F6E">
        <w:rPr>
          <w:rFonts w:ascii="Times New Roman" w:hAnsi="Times New Roman" w:cs="Times New Roman"/>
          <w:sz w:val="24"/>
          <w:szCs w:val="24"/>
          <w:lang w:val="en-GB"/>
        </w:rPr>
        <w:t xml:space="preserve">at least plausible that the OTP </w:t>
      </w:r>
      <w:r w:rsidR="00E83D0F">
        <w:rPr>
          <w:rFonts w:ascii="Times New Roman" w:hAnsi="Times New Roman" w:cs="Times New Roman"/>
          <w:sz w:val="24"/>
          <w:szCs w:val="24"/>
          <w:lang w:val="en-GB"/>
        </w:rPr>
        <w:t xml:space="preserve">may have </w:t>
      </w:r>
      <w:r w:rsidRPr="00FD1F6E">
        <w:rPr>
          <w:rFonts w:ascii="Times New Roman" w:hAnsi="Times New Roman" w:cs="Times New Roman"/>
          <w:sz w:val="24"/>
          <w:szCs w:val="24"/>
          <w:lang w:val="en-GB"/>
        </w:rPr>
        <w:t xml:space="preserve">disregarded certain elements that it considered uncertain, as </w:t>
      </w:r>
      <w:r w:rsidR="00E83D0F">
        <w:rPr>
          <w:rFonts w:ascii="Times New Roman" w:hAnsi="Times New Roman" w:cs="Times New Roman"/>
          <w:sz w:val="24"/>
          <w:szCs w:val="24"/>
          <w:lang w:val="en-GB"/>
        </w:rPr>
        <w:t xml:space="preserve">it </w:t>
      </w:r>
      <w:r w:rsidRPr="00FD1F6E">
        <w:rPr>
          <w:rFonts w:ascii="Times New Roman" w:hAnsi="Times New Roman" w:cs="Times New Roman"/>
          <w:sz w:val="24"/>
          <w:szCs w:val="24"/>
          <w:lang w:val="en-GB"/>
        </w:rPr>
        <w:t>can be inferred by some paragraphs of the Decision Not to Investigate.</w:t>
      </w:r>
    </w:p>
    <w:p w:rsidR="00E83D0F" w:rsidRDefault="00E83D0F" w:rsidP="007149B9">
      <w:pPr>
        <w:spacing w:after="0" w:line="360" w:lineRule="auto"/>
        <w:jc w:val="both"/>
        <w:rPr>
          <w:rFonts w:ascii="Times New Roman" w:hAnsi="Times New Roman" w:cs="Times New Roman"/>
          <w:sz w:val="24"/>
          <w:szCs w:val="24"/>
          <w:lang w:val="en-GB"/>
        </w:rPr>
      </w:pPr>
    </w:p>
    <w:p w:rsidR="00E83D0F" w:rsidRDefault="007149B9" w:rsidP="007149B9">
      <w:pPr>
        <w:spacing w:after="0" w:line="360" w:lineRule="auto"/>
        <w:jc w:val="both"/>
        <w:rPr>
          <w:rFonts w:ascii="Times New Roman" w:hAnsi="Times New Roman" w:cs="Times New Roman"/>
          <w:sz w:val="24"/>
          <w:szCs w:val="24"/>
          <w:lang w:val="en-US"/>
        </w:rPr>
      </w:pPr>
      <w:r w:rsidRPr="00FD1F6E">
        <w:rPr>
          <w:rFonts w:ascii="Times New Roman" w:hAnsi="Times New Roman" w:cs="Times New Roman"/>
          <w:sz w:val="24"/>
          <w:szCs w:val="24"/>
          <w:lang w:val="en-GB"/>
        </w:rPr>
        <w:t xml:space="preserve">First, regarding the legal qualification of the mistreatment of the passengers, the OTP affirmed that: ‘[o]verall, based on the information available at this stage, it is </w:t>
      </w:r>
      <w:r w:rsidRPr="00FD1F6E">
        <w:rPr>
          <w:rFonts w:ascii="Times New Roman" w:hAnsi="Times New Roman" w:cs="Times New Roman"/>
          <w:i/>
          <w:sz w:val="24"/>
          <w:szCs w:val="24"/>
          <w:lang w:val="en-GB"/>
        </w:rPr>
        <w:t>unclear</w:t>
      </w:r>
      <w:r w:rsidRPr="00FD1F6E">
        <w:rPr>
          <w:rFonts w:ascii="Times New Roman" w:hAnsi="Times New Roman" w:cs="Times New Roman"/>
          <w:sz w:val="24"/>
          <w:szCs w:val="24"/>
          <w:lang w:val="en-GB"/>
        </w:rPr>
        <w:t xml:space="preserve"> </w:t>
      </w:r>
      <w:r w:rsidRPr="00FD1F6E">
        <w:rPr>
          <w:rFonts w:ascii="Times New Roman" w:hAnsi="Times New Roman" w:cs="Times New Roman"/>
          <w:sz w:val="24"/>
          <w:szCs w:val="24"/>
          <w:lang w:val="en-GB"/>
        </w:rPr>
        <w:lastRenderedPageBreak/>
        <w:t>whether the difficulties that some wounded passengers encountered in receiving medical treatment was (</w:t>
      </w:r>
      <w:r w:rsidRPr="00FD1F6E">
        <w:rPr>
          <w:rFonts w:ascii="Times New Roman" w:hAnsi="Times New Roman" w:cs="Times New Roman"/>
          <w:i/>
          <w:sz w:val="24"/>
          <w:szCs w:val="24"/>
          <w:lang w:val="en-GB"/>
        </w:rPr>
        <w:t>sic</w:t>
      </w:r>
      <w:r w:rsidRPr="00FD1F6E">
        <w:rPr>
          <w:rFonts w:ascii="Times New Roman" w:hAnsi="Times New Roman" w:cs="Times New Roman"/>
          <w:sz w:val="24"/>
          <w:szCs w:val="24"/>
          <w:lang w:val="en-GB"/>
        </w:rPr>
        <w:t>) due to deliberate acts of the IDF or alternatively was (</w:t>
      </w:r>
      <w:r w:rsidRPr="00FD1F6E">
        <w:rPr>
          <w:rFonts w:ascii="Times New Roman" w:hAnsi="Times New Roman" w:cs="Times New Roman"/>
          <w:i/>
          <w:sz w:val="24"/>
          <w:szCs w:val="24"/>
          <w:lang w:val="en-GB"/>
        </w:rPr>
        <w:t>sic</w:t>
      </w:r>
      <w:r w:rsidRPr="00FD1F6E">
        <w:rPr>
          <w:rFonts w:ascii="Times New Roman" w:hAnsi="Times New Roman" w:cs="Times New Roman"/>
          <w:sz w:val="24"/>
          <w:szCs w:val="24"/>
          <w:lang w:val="en-GB"/>
        </w:rPr>
        <w:t>) an unintended consequences of logistical and practical difficulties.’</w:t>
      </w:r>
      <w:r w:rsidRPr="00FD1F6E">
        <w:rPr>
          <w:rStyle w:val="Rimandonotaapidipagina"/>
          <w:rFonts w:ascii="Times New Roman" w:hAnsi="Times New Roman" w:cs="Times New Roman"/>
          <w:sz w:val="24"/>
          <w:szCs w:val="24"/>
          <w:lang w:val="en-GB"/>
        </w:rPr>
        <w:footnoteReference w:id="73"/>
      </w:r>
      <w:r w:rsidRPr="00FD1F6E">
        <w:rPr>
          <w:rFonts w:ascii="Times New Roman" w:hAnsi="Times New Roman" w:cs="Times New Roman"/>
          <w:sz w:val="24"/>
          <w:szCs w:val="24"/>
          <w:lang w:val="en-GB"/>
        </w:rPr>
        <w:t xml:space="preserve"> The uncertainty regarding this element appears to have influenced the OTP’s conclu</w:t>
      </w:r>
      <w:r w:rsidR="00D73279" w:rsidRPr="00FD1F6E">
        <w:rPr>
          <w:rFonts w:ascii="Times New Roman" w:hAnsi="Times New Roman" w:cs="Times New Roman"/>
          <w:sz w:val="24"/>
          <w:szCs w:val="24"/>
          <w:lang w:val="en-GB"/>
        </w:rPr>
        <w:t xml:space="preserve">sion that </w:t>
      </w:r>
      <w:r w:rsidRPr="00FD1F6E">
        <w:rPr>
          <w:rFonts w:ascii="Times New Roman" w:hAnsi="Times New Roman" w:cs="Times New Roman"/>
          <w:sz w:val="24"/>
          <w:szCs w:val="24"/>
          <w:lang w:val="en-GB"/>
        </w:rPr>
        <w:t>the denial of medical treatment did not occur.</w:t>
      </w:r>
      <w:r w:rsidRPr="00FD1F6E">
        <w:rPr>
          <w:rStyle w:val="Rimandonotaapidipagina"/>
          <w:rFonts w:ascii="Times New Roman" w:hAnsi="Times New Roman" w:cs="Times New Roman"/>
          <w:sz w:val="24"/>
          <w:szCs w:val="24"/>
          <w:lang w:val="en-GB"/>
        </w:rPr>
        <w:footnoteReference w:id="74"/>
      </w:r>
      <w:r w:rsidR="00E83D0F">
        <w:rPr>
          <w:rFonts w:ascii="Times New Roman" w:hAnsi="Times New Roman" w:cs="Times New Roman"/>
          <w:sz w:val="24"/>
          <w:szCs w:val="24"/>
          <w:lang w:val="en-GB"/>
        </w:rPr>
        <w:t xml:space="preserve"> Only later did</w:t>
      </w:r>
      <w:r w:rsidRPr="00FD1F6E">
        <w:rPr>
          <w:rFonts w:ascii="Times New Roman" w:hAnsi="Times New Roman" w:cs="Times New Roman"/>
          <w:sz w:val="24"/>
          <w:szCs w:val="24"/>
          <w:lang w:val="en-GB"/>
        </w:rPr>
        <w:t xml:space="preserve"> the OTP </w:t>
      </w:r>
      <w:r w:rsidRPr="00FD1F6E">
        <w:rPr>
          <w:rFonts w:ascii="Times New Roman" w:hAnsi="Times New Roman" w:cs="Times New Roman"/>
          <w:sz w:val="24"/>
          <w:szCs w:val="24"/>
          <w:lang w:val="en-US"/>
        </w:rPr>
        <w:t xml:space="preserve">I </w:t>
      </w:r>
      <w:r w:rsidR="00E83D0F">
        <w:rPr>
          <w:rFonts w:ascii="Times New Roman" w:hAnsi="Times New Roman" w:cs="Times New Roman"/>
          <w:sz w:val="24"/>
          <w:szCs w:val="24"/>
          <w:lang w:val="en-US"/>
        </w:rPr>
        <w:t xml:space="preserve">seek </w:t>
      </w:r>
      <w:r w:rsidRPr="00FD1F6E">
        <w:rPr>
          <w:rFonts w:ascii="Times New Roman" w:hAnsi="Times New Roman" w:cs="Times New Roman"/>
          <w:sz w:val="24"/>
          <w:szCs w:val="24"/>
          <w:lang w:val="en-US"/>
        </w:rPr>
        <w:t xml:space="preserve">to offer a different explanation, affirming that this paragraph of the Decision Not to Investigate did not make a determination against the establishment of the facts regarding the intentional denial of medical treatment, but that the information in </w:t>
      </w:r>
      <w:r w:rsidR="00882218">
        <w:rPr>
          <w:rFonts w:ascii="Times New Roman" w:hAnsi="Times New Roman" w:cs="Times New Roman"/>
          <w:sz w:val="24"/>
          <w:szCs w:val="24"/>
          <w:lang w:val="en-US"/>
        </w:rPr>
        <w:t xml:space="preserve">the </w:t>
      </w:r>
      <w:r w:rsidRPr="00FD1F6E">
        <w:rPr>
          <w:rFonts w:ascii="Times New Roman" w:hAnsi="Times New Roman" w:cs="Times New Roman"/>
          <w:sz w:val="24"/>
          <w:szCs w:val="24"/>
          <w:lang w:val="en-US"/>
        </w:rPr>
        <w:t>possession of the OTP was not such as to allow a reasonable basis to consider that this allegation was established.</w:t>
      </w:r>
      <w:r w:rsidRPr="00FD1F6E">
        <w:rPr>
          <w:rStyle w:val="Rimandonotaapidipagina"/>
          <w:rFonts w:ascii="Times New Roman" w:hAnsi="Times New Roman" w:cs="Times New Roman"/>
          <w:sz w:val="24"/>
          <w:szCs w:val="24"/>
          <w:lang w:val="en-US"/>
        </w:rPr>
        <w:footnoteReference w:id="75"/>
      </w:r>
    </w:p>
    <w:p w:rsidR="007149B9" w:rsidRPr="00FD1F6E" w:rsidRDefault="007149B9" w:rsidP="007149B9">
      <w:pPr>
        <w:spacing w:after="0" w:line="360" w:lineRule="auto"/>
        <w:jc w:val="both"/>
        <w:rPr>
          <w:rFonts w:ascii="Times New Roman" w:hAnsi="Times New Roman" w:cs="Times New Roman"/>
          <w:sz w:val="24"/>
          <w:szCs w:val="24"/>
          <w:lang w:val="en-US"/>
        </w:rPr>
      </w:pPr>
      <w:r w:rsidRPr="00FD1F6E">
        <w:rPr>
          <w:rFonts w:ascii="Times New Roman" w:hAnsi="Times New Roman" w:cs="Times New Roman"/>
          <w:sz w:val="24"/>
          <w:szCs w:val="24"/>
          <w:lang w:val="en-US"/>
        </w:rPr>
        <w:t xml:space="preserve"> </w:t>
      </w:r>
    </w:p>
    <w:p w:rsidR="007149B9" w:rsidRPr="00FD1F6E" w:rsidRDefault="007149B9" w:rsidP="007149B9">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Second, the OTP found that there was not </w:t>
      </w:r>
      <w:r w:rsidR="00882218">
        <w:rPr>
          <w:rFonts w:ascii="Times New Roman" w:hAnsi="Times New Roman" w:cs="Times New Roman"/>
          <w:sz w:val="24"/>
          <w:szCs w:val="24"/>
          <w:lang w:val="en-GB"/>
        </w:rPr>
        <w:t xml:space="preserve">a </w:t>
      </w:r>
      <w:r w:rsidRPr="00FD1F6E">
        <w:rPr>
          <w:rFonts w:ascii="Times New Roman" w:hAnsi="Times New Roman" w:cs="Times New Roman"/>
          <w:sz w:val="24"/>
          <w:szCs w:val="24"/>
          <w:lang w:val="en-GB"/>
        </w:rPr>
        <w:t>reasonable basis for the commission of the crime of extensive appropriation of propert</w:t>
      </w:r>
      <w:r w:rsidR="00E83D0F">
        <w:rPr>
          <w:rFonts w:ascii="Times New Roman" w:hAnsi="Times New Roman" w:cs="Times New Roman"/>
          <w:sz w:val="24"/>
          <w:szCs w:val="24"/>
          <w:lang w:val="en-GB"/>
        </w:rPr>
        <w:t>y</w:t>
      </w:r>
      <w:r w:rsidRPr="00FD1F6E">
        <w:rPr>
          <w:rFonts w:ascii="Times New Roman" w:hAnsi="Times New Roman" w:cs="Times New Roman"/>
          <w:sz w:val="24"/>
          <w:szCs w:val="24"/>
          <w:lang w:val="en-GB"/>
        </w:rPr>
        <w:t xml:space="preserve"> since ‘there is </w:t>
      </w:r>
      <w:r w:rsidRPr="00FD1F6E">
        <w:rPr>
          <w:rFonts w:ascii="Times New Roman" w:hAnsi="Times New Roman" w:cs="Times New Roman"/>
          <w:i/>
          <w:sz w:val="24"/>
          <w:szCs w:val="24"/>
          <w:lang w:val="en-GB"/>
        </w:rPr>
        <w:t>insufficient information</w:t>
      </w:r>
      <w:r w:rsidRPr="00FD1F6E">
        <w:rPr>
          <w:rFonts w:ascii="Times New Roman" w:hAnsi="Times New Roman" w:cs="Times New Roman"/>
          <w:sz w:val="24"/>
          <w:szCs w:val="24"/>
          <w:lang w:val="en-GB"/>
        </w:rPr>
        <w:t xml:space="preserve"> available at this stage to ascertain the extent of the appropriation [...] as to indicate whether [it] occurred </w:t>
      </w:r>
      <w:r w:rsidRPr="00FD1F6E">
        <w:rPr>
          <w:rFonts w:ascii="Times New Roman" w:hAnsi="Times New Roman" w:cs="Times New Roman"/>
          <w:i/>
          <w:sz w:val="24"/>
          <w:szCs w:val="24"/>
          <w:lang w:val="en-GB"/>
        </w:rPr>
        <w:t>in limited, isolated instances or on a more extensive scale</w:t>
      </w:r>
      <w:r w:rsidRPr="00FD1F6E">
        <w:rPr>
          <w:rFonts w:ascii="Times New Roman" w:hAnsi="Times New Roman" w:cs="Times New Roman"/>
          <w:sz w:val="24"/>
          <w:szCs w:val="24"/>
          <w:lang w:val="en-GB"/>
        </w:rPr>
        <w:t>’.</w:t>
      </w:r>
      <w:r w:rsidRPr="00FD1F6E">
        <w:rPr>
          <w:rStyle w:val="Rimandonotaapidipagina"/>
          <w:rFonts w:ascii="Times New Roman" w:hAnsi="Times New Roman" w:cs="Times New Roman"/>
          <w:sz w:val="24"/>
          <w:szCs w:val="24"/>
          <w:lang w:val="en-GB"/>
        </w:rPr>
        <w:footnoteReference w:id="76"/>
      </w:r>
      <w:r w:rsidRPr="00FD1F6E">
        <w:rPr>
          <w:rFonts w:ascii="Times New Roman" w:hAnsi="Times New Roman" w:cs="Times New Roman"/>
          <w:sz w:val="24"/>
          <w:szCs w:val="24"/>
          <w:lang w:val="en-GB"/>
        </w:rPr>
        <w:t xml:space="preserve"> Again, this state of doubt led the OTP to discount the ‘existence of a reasonable basis to believe that the alleged theft of passengers’ property by IDF soldiers amounted to the war crime of extensive appropriation of property’.</w:t>
      </w:r>
      <w:r w:rsidRPr="00FD1F6E">
        <w:rPr>
          <w:rStyle w:val="Rimandonotaapidipagina"/>
          <w:rFonts w:ascii="Times New Roman" w:hAnsi="Times New Roman" w:cs="Times New Roman"/>
          <w:sz w:val="24"/>
          <w:szCs w:val="24"/>
          <w:lang w:val="en-GB"/>
        </w:rPr>
        <w:footnoteReference w:id="77"/>
      </w:r>
      <w:r w:rsidRPr="00FD1F6E">
        <w:rPr>
          <w:rFonts w:ascii="Times New Roman" w:hAnsi="Times New Roman" w:cs="Times New Roman"/>
          <w:sz w:val="24"/>
          <w:szCs w:val="24"/>
          <w:lang w:val="en-GB"/>
        </w:rPr>
        <w:t xml:space="preserve"> This conclusion has been confirmed by the OTP itself in its Response to the Observations of the Victims.</w:t>
      </w:r>
      <w:r w:rsidRPr="00FD1F6E">
        <w:rPr>
          <w:rStyle w:val="Rimandonotaapidipagina"/>
          <w:rFonts w:ascii="Times New Roman" w:hAnsi="Times New Roman" w:cs="Times New Roman"/>
          <w:sz w:val="24"/>
          <w:szCs w:val="24"/>
          <w:lang w:val="en-GB"/>
        </w:rPr>
        <w:footnoteReference w:id="78"/>
      </w:r>
    </w:p>
    <w:p w:rsidR="00E83D0F" w:rsidRDefault="00E83D0F" w:rsidP="007149B9">
      <w:pPr>
        <w:spacing w:after="0" w:line="360" w:lineRule="auto"/>
        <w:jc w:val="both"/>
        <w:rPr>
          <w:rFonts w:ascii="Times New Roman" w:hAnsi="Times New Roman" w:cs="Times New Roman"/>
          <w:sz w:val="24"/>
          <w:szCs w:val="24"/>
          <w:lang w:val="en-GB"/>
        </w:rPr>
      </w:pPr>
    </w:p>
    <w:p w:rsidR="00451F0C" w:rsidRDefault="00451F0C" w:rsidP="007149B9">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Following this reasoning, the OTP appears to have adopted a Court-ish attitude</w:t>
      </w:r>
      <w:r w:rsidRPr="00FD1F6E">
        <w:rPr>
          <w:rStyle w:val="Rimandonotaapidipagina"/>
          <w:rFonts w:ascii="Times New Roman" w:hAnsi="Times New Roman" w:cs="Times New Roman"/>
          <w:sz w:val="24"/>
          <w:szCs w:val="24"/>
          <w:lang w:val="en-GB"/>
        </w:rPr>
        <w:footnoteReference w:id="79"/>
      </w:r>
      <w:r w:rsidRPr="00FD1F6E">
        <w:rPr>
          <w:rFonts w:ascii="Times New Roman" w:hAnsi="Times New Roman" w:cs="Times New Roman"/>
          <w:sz w:val="24"/>
          <w:szCs w:val="24"/>
          <w:lang w:val="en-GB"/>
        </w:rPr>
        <w:t xml:space="preserve"> and  to have applied the Latin maxim </w:t>
      </w:r>
      <w:r w:rsidRPr="00FD1F6E">
        <w:rPr>
          <w:rFonts w:ascii="Times New Roman" w:hAnsi="Times New Roman" w:cs="Times New Roman"/>
          <w:i/>
          <w:sz w:val="24"/>
          <w:szCs w:val="24"/>
          <w:lang w:val="en-GB"/>
        </w:rPr>
        <w:t>in dubio pro reo</w:t>
      </w:r>
      <w:r w:rsidRPr="00FD1F6E">
        <w:rPr>
          <w:rFonts w:ascii="Times New Roman" w:hAnsi="Times New Roman" w:cs="Times New Roman"/>
          <w:sz w:val="24"/>
          <w:szCs w:val="24"/>
          <w:lang w:val="en-GB"/>
        </w:rPr>
        <w:t xml:space="preserve">. However, this maxim is not applicable to the activity of prosecution at the preliminary examination stage, since there is no accused, let alone any </w:t>
      </w:r>
      <w:r w:rsidRPr="00FD1F6E">
        <w:rPr>
          <w:rFonts w:ascii="Times New Roman" w:hAnsi="Times New Roman" w:cs="Times New Roman"/>
          <w:i/>
          <w:sz w:val="24"/>
          <w:szCs w:val="24"/>
          <w:lang w:val="en-GB"/>
        </w:rPr>
        <w:t>reus</w:t>
      </w:r>
      <w:r w:rsidRPr="00FD1F6E">
        <w:rPr>
          <w:rFonts w:ascii="Times New Roman" w:hAnsi="Times New Roman" w:cs="Times New Roman"/>
          <w:sz w:val="24"/>
          <w:szCs w:val="24"/>
          <w:lang w:val="en-GB"/>
        </w:rPr>
        <w:t>, yet.</w:t>
      </w:r>
      <w:r w:rsidRPr="00FD1F6E">
        <w:rPr>
          <w:rStyle w:val="Rimandonotaapidipagina"/>
          <w:rFonts w:ascii="Times New Roman" w:hAnsi="Times New Roman" w:cs="Times New Roman"/>
          <w:sz w:val="24"/>
          <w:szCs w:val="24"/>
          <w:lang w:val="en-GB"/>
        </w:rPr>
        <w:footnoteReference w:id="80"/>
      </w:r>
      <w:r w:rsidRPr="00FD1F6E">
        <w:rPr>
          <w:rFonts w:ascii="Times New Roman" w:hAnsi="Times New Roman" w:cs="Times New Roman"/>
          <w:sz w:val="24"/>
          <w:szCs w:val="24"/>
          <w:lang w:val="en-GB"/>
        </w:rPr>
        <w:t xml:space="preserve"> </w:t>
      </w:r>
    </w:p>
    <w:p w:rsidR="00E83D0F" w:rsidRPr="00FD1F6E" w:rsidRDefault="00E83D0F" w:rsidP="007149B9">
      <w:pPr>
        <w:spacing w:after="0" w:line="360" w:lineRule="auto"/>
        <w:jc w:val="both"/>
        <w:rPr>
          <w:rFonts w:ascii="Times New Roman" w:hAnsi="Times New Roman" w:cs="Times New Roman"/>
          <w:sz w:val="24"/>
          <w:szCs w:val="24"/>
          <w:lang w:val="en-GB"/>
        </w:rPr>
      </w:pPr>
    </w:p>
    <w:p w:rsidR="00D73279" w:rsidRPr="00FD1F6E" w:rsidRDefault="007149B9" w:rsidP="007149B9">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It has been argued that normally the process followed by the OTP in evaluating whether to open an i</w:t>
      </w:r>
      <w:r w:rsidR="00303CDB">
        <w:rPr>
          <w:rFonts w:ascii="Times New Roman" w:hAnsi="Times New Roman" w:cs="Times New Roman"/>
          <w:sz w:val="24"/>
          <w:szCs w:val="24"/>
          <w:lang w:val="en-GB"/>
        </w:rPr>
        <w:t>nvestigation is not explained in</w:t>
      </w:r>
      <w:r w:rsidRPr="00FD1F6E">
        <w:rPr>
          <w:rFonts w:ascii="Times New Roman" w:hAnsi="Times New Roman" w:cs="Times New Roman"/>
          <w:sz w:val="24"/>
          <w:szCs w:val="24"/>
          <w:lang w:val="en-GB"/>
        </w:rPr>
        <w:t xml:space="preserve"> such a detailed manner, and that PTC I had the opportunity to scrutinise the OTP’s decision-making process only thanks to the details embodied in the Decision Not to Investigate.</w:t>
      </w:r>
      <w:r w:rsidRPr="00FD1F6E">
        <w:rPr>
          <w:rStyle w:val="Rimandonotaapidipagina"/>
          <w:rFonts w:ascii="Times New Roman" w:hAnsi="Times New Roman" w:cs="Times New Roman"/>
          <w:sz w:val="24"/>
          <w:szCs w:val="24"/>
          <w:lang w:val="en-GB"/>
        </w:rPr>
        <w:footnoteReference w:id="81"/>
      </w:r>
      <w:r w:rsidRPr="00FD1F6E">
        <w:rPr>
          <w:rFonts w:ascii="Times New Roman" w:hAnsi="Times New Roman" w:cs="Times New Roman"/>
          <w:sz w:val="24"/>
          <w:szCs w:val="24"/>
          <w:lang w:val="en-GB"/>
        </w:rPr>
        <w:t xml:space="preserve"> However, t</w:t>
      </w:r>
      <w:r w:rsidRPr="00FD1F6E">
        <w:rPr>
          <w:rFonts w:ascii="Times New Roman" w:hAnsi="Times New Roman" w:cs="Times New Roman"/>
          <w:sz w:val="24"/>
          <w:szCs w:val="24"/>
          <w:lang w:val="en-US"/>
        </w:rPr>
        <w:t>his new approach of the OTP should be considered in a favorable light since it enhances the transparency of the Office of the Prosecutor.</w:t>
      </w:r>
      <w:r w:rsidRPr="00FD1F6E">
        <w:rPr>
          <w:rStyle w:val="Rimandonotaapidipagina"/>
          <w:rFonts w:ascii="Times New Roman" w:hAnsi="Times New Roman" w:cs="Times New Roman"/>
          <w:sz w:val="24"/>
          <w:szCs w:val="24"/>
          <w:lang w:val="en-GB"/>
        </w:rPr>
        <w:footnoteReference w:id="82"/>
      </w:r>
      <w:r w:rsidRPr="00FD1F6E">
        <w:rPr>
          <w:rFonts w:ascii="Times New Roman" w:hAnsi="Times New Roman" w:cs="Times New Roman"/>
          <w:sz w:val="24"/>
          <w:szCs w:val="24"/>
          <w:lang w:val="en-GB"/>
        </w:rPr>
        <w:t xml:space="preserve"> </w:t>
      </w:r>
    </w:p>
    <w:p w:rsidR="00E83D0F" w:rsidRDefault="00E83D0F" w:rsidP="007149B9">
      <w:pPr>
        <w:spacing w:after="0" w:line="360" w:lineRule="auto"/>
        <w:jc w:val="both"/>
        <w:rPr>
          <w:rFonts w:ascii="Times New Roman" w:hAnsi="Times New Roman" w:cs="Times New Roman"/>
          <w:sz w:val="24"/>
          <w:szCs w:val="24"/>
          <w:lang w:val="en-GB"/>
        </w:rPr>
      </w:pPr>
    </w:p>
    <w:p w:rsidR="00650F36" w:rsidRPr="00FD1F6E" w:rsidRDefault="007149B9" w:rsidP="007149B9">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In the instant case, </w:t>
      </w:r>
      <w:r w:rsidR="00D73279" w:rsidRPr="00FD1F6E">
        <w:rPr>
          <w:rFonts w:ascii="Times New Roman" w:hAnsi="Times New Roman" w:cs="Times New Roman"/>
          <w:sz w:val="24"/>
          <w:szCs w:val="24"/>
          <w:lang w:val="en-GB"/>
        </w:rPr>
        <w:t>PTC I considered that such doubts in the Decision Not to Investigate did exist. If one shares this view, it is possible to conclude that the lower threshold required by Article 53(1) allows</w:t>
      </w:r>
      <w:r w:rsidR="003F5BC4" w:rsidRPr="00FD1F6E">
        <w:rPr>
          <w:rFonts w:ascii="Times New Roman" w:hAnsi="Times New Roman" w:cs="Times New Roman"/>
          <w:sz w:val="24"/>
          <w:szCs w:val="24"/>
          <w:lang w:val="en-GB"/>
        </w:rPr>
        <w:t xml:space="preserve"> (and, maybe, demands)</w:t>
      </w:r>
      <w:r w:rsidR="00D73279" w:rsidRPr="00FD1F6E">
        <w:rPr>
          <w:rFonts w:ascii="Times New Roman" w:hAnsi="Times New Roman" w:cs="Times New Roman"/>
          <w:sz w:val="24"/>
          <w:szCs w:val="24"/>
          <w:lang w:val="en-GB"/>
        </w:rPr>
        <w:t xml:space="preserve"> the OTP to open an investigation in case of contradicting circumstances regarding the factual basis and admissibility of the potential case</w:t>
      </w:r>
      <w:r w:rsidR="003F513B" w:rsidRPr="00FD1F6E">
        <w:rPr>
          <w:rFonts w:ascii="Times New Roman" w:hAnsi="Times New Roman" w:cs="Times New Roman"/>
          <w:sz w:val="24"/>
          <w:szCs w:val="24"/>
          <w:lang w:val="en-GB"/>
        </w:rPr>
        <w:t xml:space="preserve"> at the preliminary examination</w:t>
      </w:r>
      <w:r w:rsidR="00D73279" w:rsidRPr="00FD1F6E">
        <w:rPr>
          <w:rFonts w:ascii="Times New Roman" w:hAnsi="Times New Roman" w:cs="Times New Roman"/>
          <w:sz w:val="24"/>
          <w:szCs w:val="24"/>
          <w:lang w:val="en-GB"/>
        </w:rPr>
        <w:t xml:space="preserve"> stage, especially when at least two </w:t>
      </w:r>
      <w:r w:rsidR="00E83D0F">
        <w:rPr>
          <w:rFonts w:ascii="Times New Roman" w:hAnsi="Times New Roman" w:cs="Times New Roman"/>
          <w:sz w:val="24"/>
          <w:szCs w:val="24"/>
          <w:lang w:val="en-GB"/>
        </w:rPr>
        <w:t xml:space="preserve">out of three of the article’s requirements </w:t>
      </w:r>
      <w:r w:rsidR="00D73279" w:rsidRPr="00FD1F6E">
        <w:rPr>
          <w:rFonts w:ascii="Times New Roman" w:hAnsi="Times New Roman" w:cs="Times New Roman"/>
          <w:sz w:val="24"/>
          <w:szCs w:val="24"/>
          <w:lang w:val="en-GB"/>
        </w:rPr>
        <w:t xml:space="preserve">(in the instant case, the existence of a reasonable basis regarding the commission of the alleged crimes and respect for the interests of justice) are </w:t>
      </w:r>
      <w:r w:rsidR="003F5BC4" w:rsidRPr="00FD1F6E">
        <w:rPr>
          <w:rFonts w:ascii="Times New Roman" w:hAnsi="Times New Roman" w:cs="Times New Roman"/>
          <w:sz w:val="24"/>
          <w:szCs w:val="24"/>
          <w:lang w:val="en-GB"/>
        </w:rPr>
        <w:t xml:space="preserve">sufficiently assessed. This is the opinion of PTC I, which </w:t>
      </w:r>
      <w:r w:rsidR="00D73279" w:rsidRPr="00FD1F6E">
        <w:rPr>
          <w:rFonts w:ascii="Times New Roman" w:hAnsi="Times New Roman" w:cs="Times New Roman"/>
          <w:sz w:val="24"/>
          <w:szCs w:val="24"/>
          <w:lang w:val="en-GB"/>
        </w:rPr>
        <w:t>affirm</w:t>
      </w:r>
      <w:r w:rsidR="003F5BC4" w:rsidRPr="00FD1F6E">
        <w:rPr>
          <w:rFonts w:ascii="Times New Roman" w:hAnsi="Times New Roman" w:cs="Times New Roman"/>
          <w:sz w:val="24"/>
          <w:szCs w:val="24"/>
          <w:lang w:val="en-GB"/>
        </w:rPr>
        <w:t>ed that:</w:t>
      </w:r>
      <w:r w:rsidR="00D73279" w:rsidRPr="00FD1F6E">
        <w:rPr>
          <w:rFonts w:ascii="Times New Roman" w:hAnsi="Times New Roman" w:cs="Times New Roman"/>
          <w:sz w:val="24"/>
          <w:szCs w:val="24"/>
          <w:lang w:val="en-GB"/>
        </w:rPr>
        <w:t xml:space="preserve"> ‘[f]acts which are difficult to establish, or which are unclear, or the existence of conflicting accounts, are not valid reasons </w:t>
      </w:r>
      <w:r w:rsidR="00D73279" w:rsidRPr="00D03024">
        <w:rPr>
          <w:rFonts w:ascii="Times New Roman" w:hAnsi="Times New Roman" w:cs="Times New Roman"/>
          <w:i/>
          <w:sz w:val="24"/>
          <w:szCs w:val="24"/>
          <w:lang w:val="en-GB"/>
        </w:rPr>
        <w:t xml:space="preserve">not to start an investigation </w:t>
      </w:r>
      <w:r w:rsidR="00D73279" w:rsidRPr="00FD1F6E">
        <w:rPr>
          <w:rFonts w:ascii="Times New Roman" w:hAnsi="Times New Roman" w:cs="Times New Roman"/>
          <w:i/>
          <w:sz w:val="24"/>
          <w:szCs w:val="24"/>
          <w:lang w:val="en-GB"/>
        </w:rPr>
        <w:t>but rather call for the opening of such an investigation</w:t>
      </w:r>
      <w:r w:rsidR="00D73279" w:rsidRPr="00FD1F6E">
        <w:rPr>
          <w:rFonts w:ascii="Times New Roman" w:hAnsi="Times New Roman" w:cs="Times New Roman"/>
          <w:sz w:val="24"/>
          <w:szCs w:val="24"/>
          <w:lang w:val="en-GB"/>
        </w:rPr>
        <w:t>.’</w:t>
      </w:r>
      <w:r w:rsidR="00D73279" w:rsidRPr="00FD1F6E">
        <w:rPr>
          <w:rStyle w:val="Rimandonotaapidipagina"/>
          <w:rFonts w:ascii="Times New Roman" w:hAnsi="Times New Roman" w:cs="Times New Roman"/>
          <w:sz w:val="24"/>
          <w:szCs w:val="24"/>
          <w:lang w:val="en-GB"/>
        </w:rPr>
        <w:footnoteReference w:id="83"/>
      </w:r>
    </w:p>
    <w:p w:rsidR="00B0782E" w:rsidRDefault="00B0782E" w:rsidP="00CA0198">
      <w:pPr>
        <w:spacing w:after="0" w:line="360" w:lineRule="auto"/>
        <w:jc w:val="both"/>
        <w:rPr>
          <w:rFonts w:ascii="Times New Roman" w:hAnsi="Times New Roman" w:cs="Times New Roman"/>
          <w:sz w:val="24"/>
          <w:szCs w:val="24"/>
          <w:lang w:val="en-GB"/>
        </w:rPr>
      </w:pPr>
    </w:p>
    <w:p w:rsidR="005D040B" w:rsidRDefault="003F5BC4"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This conclusion is supported by the fact that </w:t>
      </w:r>
      <w:r w:rsidR="00807098" w:rsidRPr="00FD1F6E">
        <w:rPr>
          <w:rFonts w:ascii="Times New Roman" w:hAnsi="Times New Roman" w:cs="Times New Roman"/>
          <w:sz w:val="24"/>
          <w:szCs w:val="24"/>
          <w:lang w:val="en-GB"/>
        </w:rPr>
        <w:t xml:space="preserve">the </w:t>
      </w:r>
      <w:r w:rsidR="005A6A5A" w:rsidRPr="00FD1F6E">
        <w:rPr>
          <w:rFonts w:ascii="Times New Roman" w:hAnsi="Times New Roman" w:cs="Times New Roman"/>
          <w:sz w:val="24"/>
          <w:szCs w:val="24"/>
          <w:lang w:val="en-GB"/>
        </w:rPr>
        <w:t>OT</w:t>
      </w:r>
      <w:r w:rsidR="008A4FEB" w:rsidRPr="00FD1F6E">
        <w:rPr>
          <w:rFonts w:ascii="Times New Roman" w:hAnsi="Times New Roman" w:cs="Times New Roman"/>
          <w:sz w:val="24"/>
          <w:szCs w:val="24"/>
          <w:lang w:val="en-GB"/>
        </w:rPr>
        <w:t>P</w:t>
      </w:r>
      <w:r w:rsidRPr="00FD1F6E">
        <w:rPr>
          <w:rFonts w:ascii="Times New Roman" w:hAnsi="Times New Roman" w:cs="Times New Roman"/>
          <w:sz w:val="24"/>
          <w:szCs w:val="24"/>
          <w:lang w:val="en-GB"/>
        </w:rPr>
        <w:t xml:space="preserve"> lacks</w:t>
      </w:r>
      <w:r w:rsidR="00FD1F6E" w:rsidRPr="00FD1F6E">
        <w:rPr>
          <w:rFonts w:ascii="Times New Roman" w:hAnsi="Times New Roman" w:cs="Times New Roman"/>
          <w:sz w:val="24"/>
          <w:szCs w:val="24"/>
          <w:lang w:val="en-GB"/>
        </w:rPr>
        <w:t xml:space="preserve"> significa</w:t>
      </w:r>
      <w:r w:rsidR="00D03024">
        <w:rPr>
          <w:rFonts w:ascii="Times New Roman" w:hAnsi="Times New Roman" w:cs="Times New Roman"/>
          <w:sz w:val="24"/>
          <w:szCs w:val="24"/>
          <w:lang w:val="en-GB"/>
        </w:rPr>
        <w:t>nt</w:t>
      </w:r>
      <w:r w:rsidRPr="00FD1F6E">
        <w:rPr>
          <w:rFonts w:ascii="Times New Roman" w:hAnsi="Times New Roman" w:cs="Times New Roman"/>
          <w:sz w:val="24"/>
          <w:szCs w:val="24"/>
          <w:lang w:val="en-GB"/>
        </w:rPr>
        <w:t xml:space="preserve"> </w:t>
      </w:r>
      <w:r w:rsidR="003E401C" w:rsidRPr="00FD1F6E">
        <w:rPr>
          <w:rFonts w:ascii="Times New Roman" w:hAnsi="Times New Roman" w:cs="Times New Roman"/>
          <w:sz w:val="24"/>
          <w:szCs w:val="24"/>
          <w:lang w:val="en-GB"/>
        </w:rPr>
        <w:t>investigati</w:t>
      </w:r>
      <w:r w:rsidR="008060EE" w:rsidRPr="00FD1F6E">
        <w:rPr>
          <w:rFonts w:ascii="Times New Roman" w:hAnsi="Times New Roman" w:cs="Times New Roman"/>
          <w:sz w:val="24"/>
          <w:szCs w:val="24"/>
          <w:lang w:val="en-GB"/>
        </w:rPr>
        <w:t>ve powers</w:t>
      </w:r>
      <w:r w:rsidR="00547BE7" w:rsidRPr="00FD1F6E">
        <w:rPr>
          <w:rFonts w:ascii="Times New Roman" w:hAnsi="Times New Roman" w:cs="Times New Roman"/>
          <w:sz w:val="24"/>
          <w:szCs w:val="24"/>
          <w:lang w:val="en-GB"/>
        </w:rPr>
        <w:t xml:space="preserve"> during preliminary examination</w:t>
      </w:r>
      <w:r w:rsidRPr="00FD1F6E">
        <w:rPr>
          <w:rFonts w:ascii="Times New Roman" w:hAnsi="Times New Roman" w:cs="Times New Roman"/>
          <w:sz w:val="24"/>
          <w:szCs w:val="24"/>
          <w:lang w:val="en-GB"/>
        </w:rPr>
        <w:t>s.</w:t>
      </w:r>
      <w:r w:rsidR="008060EE" w:rsidRPr="00FD1F6E">
        <w:rPr>
          <w:rStyle w:val="Rimandonotaapidipagina"/>
          <w:rFonts w:ascii="Times New Roman" w:hAnsi="Times New Roman" w:cs="Times New Roman"/>
          <w:sz w:val="24"/>
          <w:szCs w:val="24"/>
          <w:lang w:val="en-GB"/>
        </w:rPr>
        <w:footnoteReference w:id="84"/>
      </w:r>
      <w:r w:rsidR="00367A3F" w:rsidRPr="00FD1F6E">
        <w:rPr>
          <w:rFonts w:ascii="Times New Roman" w:hAnsi="Times New Roman" w:cs="Times New Roman"/>
          <w:sz w:val="24"/>
          <w:szCs w:val="24"/>
          <w:lang w:val="en-GB"/>
        </w:rPr>
        <w:t xml:space="preserve"> </w:t>
      </w:r>
      <w:r w:rsidRPr="00FD1F6E">
        <w:rPr>
          <w:rFonts w:ascii="Times New Roman" w:hAnsi="Times New Roman" w:cs="Times New Roman"/>
          <w:sz w:val="24"/>
          <w:szCs w:val="24"/>
          <w:lang w:val="en-GB"/>
        </w:rPr>
        <w:t>Initiating a proper investigat</w:t>
      </w:r>
      <w:r w:rsidR="00B0782E">
        <w:rPr>
          <w:rFonts w:ascii="Times New Roman" w:hAnsi="Times New Roman" w:cs="Times New Roman"/>
          <w:sz w:val="24"/>
          <w:szCs w:val="24"/>
          <w:lang w:val="en-GB"/>
        </w:rPr>
        <w:t xml:space="preserve">ion would have offered the OTP </w:t>
      </w:r>
      <w:r w:rsidRPr="00FD1F6E">
        <w:rPr>
          <w:rFonts w:ascii="Times New Roman" w:hAnsi="Times New Roman" w:cs="Times New Roman"/>
          <w:sz w:val="24"/>
          <w:szCs w:val="24"/>
          <w:lang w:val="en-GB"/>
        </w:rPr>
        <w:t>the chance to dispel those doubts, with no harm to anyone’s rights.</w:t>
      </w:r>
    </w:p>
    <w:p w:rsidR="00B0782E" w:rsidRPr="00FD1F6E" w:rsidRDefault="00B0782E" w:rsidP="00CA0198">
      <w:pPr>
        <w:spacing w:after="0" w:line="360" w:lineRule="auto"/>
        <w:jc w:val="both"/>
        <w:rPr>
          <w:rFonts w:ascii="Times New Roman" w:hAnsi="Times New Roman" w:cs="Times New Roman"/>
          <w:sz w:val="24"/>
          <w:szCs w:val="24"/>
          <w:lang w:val="en-GB"/>
        </w:rPr>
      </w:pPr>
    </w:p>
    <w:p w:rsidR="0073518E" w:rsidRDefault="0073518E" w:rsidP="0073518E">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lastRenderedPageBreak/>
        <w:t>However</w:t>
      </w:r>
      <w:r w:rsidR="00451F0C" w:rsidRPr="00FD1F6E">
        <w:rPr>
          <w:rFonts w:ascii="Times New Roman" w:hAnsi="Times New Roman" w:cs="Times New Roman"/>
          <w:sz w:val="24"/>
          <w:szCs w:val="24"/>
          <w:lang w:val="en-GB"/>
        </w:rPr>
        <w:t>, determining whether the OTP had some doubts in its assessment pursuant to Article 53(1)</w:t>
      </w:r>
      <w:r w:rsidRPr="00FD1F6E">
        <w:rPr>
          <w:rFonts w:ascii="Times New Roman" w:hAnsi="Times New Roman" w:cs="Times New Roman"/>
          <w:sz w:val="24"/>
          <w:szCs w:val="24"/>
          <w:lang w:val="en-GB"/>
        </w:rPr>
        <w:t xml:space="preserve"> in the </w:t>
      </w:r>
      <w:r w:rsidRPr="00FD1F6E">
        <w:rPr>
          <w:rFonts w:ascii="Times New Roman" w:hAnsi="Times New Roman" w:cs="Times New Roman"/>
          <w:i/>
          <w:sz w:val="24"/>
          <w:szCs w:val="24"/>
          <w:lang w:val="en-GB"/>
        </w:rPr>
        <w:t>Mavi Marmara</w:t>
      </w:r>
      <w:r w:rsidR="00B0782E">
        <w:rPr>
          <w:rFonts w:ascii="Times New Roman" w:hAnsi="Times New Roman" w:cs="Times New Roman"/>
          <w:sz w:val="24"/>
          <w:szCs w:val="24"/>
          <w:lang w:val="en-GB"/>
        </w:rPr>
        <w:t xml:space="preserve"> affair</w:t>
      </w:r>
      <w:r w:rsidR="00451F0C" w:rsidRPr="00FD1F6E">
        <w:rPr>
          <w:rFonts w:ascii="Times New Roman" w:hAnsi="Times New Roman" w:cs="Times New Roman"/>
          <w:sz w:val="24"/>
          <w:szCs w:val="24"/>
          <w:lang w:val="en-GB"/>
        </w:rPr>
        <w:t xml:space="preserve"> is not an easy task. Even if this author partially shares PTC I’s conclusions regarding the existence of these doubts</w:t>
      </w:r>
      <w:r w:rsidRPr="00FD1F6E">
        <w:rPr>
          <w:rFonts w:ascii="Times New Roman" w:hAnsi="Times New Roman" w:cs="Times New Roman"/>
          <w:sz w:val="24"/>
          <w:szCs w:val="24"/>
          <w:lang w:val="en-GB"/>
        </w:rPr>
        <w:t xml:space="preserve"> in the Decision Not to Investigate</w:t>
      </w:r>
      <w:r w:rsidR="00451F0C" w:rsidRPr="00FD1F6E">
        <w:rPr>
          <w:rFonts w:ascii="Times New Roman" w:hAnsi="Times New Roman" w:cs="Times New Roman"/>
          <w:sz w:val="24"/>
          <w:szCs w:val="24"/>
          <w:lang w:val="en-GB"/>
        </w:rPr>
        <w:t xml:space="preserve">, the OTP denied them in subsequent judicial documents such as the Response to the Application for Review and the Response to the Observations of the Victims. </w:t>
      </w:r>
    </w:p>
    <w:p w:rsidR="00B0782E" w:rsidRPr="00FD1F6E" w:rsidRDefault="00B0782E" w:rsidP="0073518E">
      <w:pPr>
        <w:spacing w:after="0" w:line="360" w:lineRule="auto"/>
        <w:jc w:val="both"/>
        <w:rPr>
          <w:rFonts w:ascii="Times New Roman" w:hAnsi="Times New Roman" w:cs="Times New Roman"/>
          <w:sz w:val="24"/>
          <w:szCs w:val="24"/>
          <w:lang w:val="en-GB"/>
        </w:rPr>
      </w:pPr>
    </w:p>
    <w:p w:rsidR="005B5703" w:rsidRPr="00FD1F6E" w:rsidRDefault="0073518E" w:rsidP="0073518E">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Nevertheless, the conclusion that the lower threshold under Article 53(1) requires the opening of an investigation when the OTP has some doubts regarding one of the elements of its assessment seems general</w:t>
      </w:r>
      <w:r w:rsidR="00D03024">
        <w:rPr>
          <w:rFonts w:ascii="Times New Roman" w:hAnsi="Times New Roman" w:cs="Times New Roman"/>
          <w:sz w:val="24"/>
          <w:szCs w:val="24"/>
          <w:lang w:val="en-GB"/>
        </w:rPr>
        <w:t>ly sound</w:t>
      </w:r>
      <w:r w:rsidRPr="00FD1F6E">
        <w:rPr>
          <w:rFonts w:ascii="Times New Roman" w:hAnsi="Times New Roman" w:cs="Times New Roman"/>
          <w:sz w:val="24"/>
          <w:szCs w:val="24"/>
          <w:lang w:val="en-GB"/>
        </w:rPr>
        <w:t>.</w:t>
      </w:r>
      <w:r w:rsidR="005B5703" w:rsidRPr="00FD1F6E">
        <w:rPr>
          <w:rFonts w:ascii="Times New Roman" w:hAnsi="Times New Roman" w:cs="Times New Roman"/>
          <w:sz w:val="24"/>
          <w:szCs w:val="24"/>
          <w:lang w:val="en-GB"/>
        </w:rPr>
        <w:t xml:space="preserve"> </w:t>
      </w:r>
    </w:p>
    <w:p w:rsidR="005B5703" w:rsidRPr="00FD1F6E" w:rsidRDefault="005B5703" w:rsidP="005B5703">
      <w:pPr>
        <w:spacing w:after="0" w:line="360" w:lineRule="auto"/>
        <w:jc w:val="both"/>
        <w:rPr>
          <w:rFonts w:ascii="Times New Roman" w:hAnsi="Times New Roman" w:cs="Times New Roman"/>
          <w:sz w:val="24"/>
          <w:szCs w:val="24"/>
          <w:lang w:val="en-GB"/>
        </w:rPr>
      </w:pPr>
    </w:p>
    <w:p w:rsidR="0011339E" w:rsidRPr="00FD1F6E" w:rsidRDefault="00A90A1F" w:rsidP="0011339E">
      <w:pPr>
        <w:spacing w:after="0" w:line="360" w:lineRule="auto"/>
        <w:jc w:val="both"/>
        <w:rPr>
          <w:rFonts w:ascii="Times New Roman" w:hAnsi="Times New Roman" w:cs="Times New Roman"/>
          <w:b/>
          <w:i/>
          <w:sz w:val="24"/>
          <w:szCs w:val="24"/>
          <w:lang w:val="en-GB"/>
        </w:rPr>
      </w:pPr>
      <w:r w:rsidRPr="00FD1F6E">
        <w:rPr>
          <w:rFonts w:ascii="Times New Roman" w:hAnsi="Times New Roman" w:cs="Times New Roman"/>
          <w:b/>
          <w:i/>
          <w:sz w:val="24"/>
          <w:szCs w:val="24"/>
          <w:lang w:val="en-GB"/>
        </w:rPr>
        <w:t>C</w:t>
      </w:r>
      <w:r w:rsidR="0011339E" w:rsidRPr="00FD1F6E">
        <w:rPr>
          <w:rFonts w:ascii="Times New Roman" w:hAnsi="Times New Roman" w:cs="Times New Roman"/>
          <w:b/>
          <w:i/>
          <w:sz w:val="24"/>
          <w:szCs w:val="24"/>
          <w:lang w:val="en-GB"/>
        </w:rPr>
        <w:t>. The Relevance of the Spatial Element</w:t>
      </w:r>
    </w:p>
    <w:p w:rsidR="00B0782E" w:rsidRDefault="00B0782E" w:rsidP="0011339E">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assessing the gravity of the events aboard the </w:t>
      </w:r>
      <w:r>
        <w:rPr>
          <w:rFonts w:ascii="Times New Roman" w:hAnsi="Times New Roman" w:cs="Times New Roman"/>
          <w:i/>
          <w:sz w:val="24"/>
          <w:szCs w:val="24"/>
          <w:lang w:val="en-GB"/>
        </w:rPr>
        <w:t>Mavi Marmara</w:t>
      </w:r>
      <w:r>
        <w:rPr>
          <w:rFonts w:ascii="Times New Roman" w:hAnsi="Times New Roman" w:cs="Times New Roman"/>
          <w:sz w:val="24"/>
          <w:szCs w:val="24"/>
          <w:lang w:val="en-GB"/>
        </w:rPr>
        <w:t xml:space="preserve">, it is also suggested that greater consideration should have been given to the occurrence of events </w:t>
      </w:r>
      <w:r w:rsidR="0011339E" w:rsidRPr="00FD1F6E">
        <w:rPr>
          <w:rFonts w:ascii="Times New Roman" w:hAnsi="Times New Roman" w:cs="Times New Roman"/>
          <w:sz w:val="24"/>
          <w:szCs w:val="24"/>
          <w:lang w:val="en-GB"/>
        </w:rPr>
        <w:t xml:space="preserve">on board a </w:t>
      </w:r>
      <w:r w:rsidR="0011339E" w:rsidRPr="00B0782E">
        <w:rPr>
          <w:rFonts w:ascii="Times New Roman" w:hAnsi="Times New Roman" w:cs="Times New Roman"/>
          <w:i/>
          <w:sz w:val="24"/>
          <w:szCs w:val="24"/>
          <w:lang w:val="en-GB"/>
        </w:rPr>
        <w:t>vessel</w:t>
      </w:r>
      <w:r w:rsidR="0011339E" w:rsidRPr="00FD1F6E">
        <w:rPr>
          <w:rFonts w:ascii="Times New Roman" w:hAnsi="Times New Roman" w:cs="Times New Roman"/>
          <w:sz w:val="24"/>
          <w:szCs w:val="24"/>
          <w:lang w:val="en-GB"/>
        </w:rPr>
        <w:t xml:space="preserve"> (hereinafter: ‘the spatial element’). </w:t>
      </w:r>
      <w:r w:rsidR="0073518E" w:rsidRPr="00FD1F6E">
        <w:rPr>
          <w:rFonts w:ascii="Times New Roman" w:hAnsi="Times New Roman" w:cs="Times New Roman"/>
          <w:sz w:val="24"/>
          <w:szCs w:val="24"/>
          <w:lang w:val="en-GB"/>
        </w:rPr>
        <w:t xml:space="preserve">However, since there is </w:t>
      </w:r>
      <w:r w:rsidR="001E7C83" w:rsidRPr="00FD1F6E">
        <w:rPr>
          <w:rFonts w:ascii="Times New Roman" w:hAnsi="Times New Roman" w:cs="Times New Roman"/>
          <w:sz w:val="24"/>
          <w:szCs w:val="24"/>
          <w:lang w:val="en-GB"/>
        </w:rPr>
        <w:t>no significant</w:t>
      </w:r>
      <w:r w:rsidR="0073518E" w:rsidRPr="00FD1F6E">
        <w:rPr>
          <w:rFonts w:ascii="Times New Roman" w:hAnsi="Times New Roman" w:cs="Times New Roman"/>
          <w:sz w:val="24"/>
          <w:szCs w:val="24"/>
          <w:lang w:val="en-GB"/>
        </w:rPr>
        <w:t xml:space="preserve"> case law specifically </w:t>
      </w:r>
      <w:r w:rsidR="00D03024">
        <w:rPr>
          <w:rFonts w:ascii="Times New Roman" w:hAnsi="Times New Roman" w:cs="Times New Roman"/>
          <w:sz w:val="24"/>
          <w:szCs w:val="24"/>
          <w:lang w:val="en-GB"/>
        </w:rPr>
        <w:t>addressing</w:t>
      </w:r>
      <w:r w:rsidR="0073518E" w:rsidRPr="00FD1F6E">
        <w:rPr>
          <w:rFonts w:ascii="Times New Roman" w:hAnsi="Times New Roman" w:cs="Times New Roman"/>
          <w:sz w:val="24"/>
          <w:szCs w:val="24"/>
          <w:lang w:val="en-GB"/>
        </w:rPr>
        <w:t xml:space="preserve"> the prosecution of international crimes allegedly </w:t>
      </w:r>
      <w:r w:rsidR="000479B4" w:rsidRPr="00FD1F6E">
        <w:rPr>
          <w:rFonts w:ascii="Times New Roman" w:hAnsi="Times New Roman" w:cs="Times New Roman"/>
          <w:sz w:val="24"/>
          <w:szCs w:val="24"/>
          <w:lang w:val="en-GB"/>
        </w:rPr>
        <w:t>committed</w:t>
      </w:r>
      <w:r w:rsidR="0073518E" w:rsidRPr="00FD1F6E">
        <w:rPr>
          <w:rFonts w:ascii="Times New Roman" w:hAnsi="Times New Roman" w:cs="Times New Roman"/>
          <w:sz w:val="24"/>
          <w:szCs w:val="24"/>
          <w:lang w:val="en-GB"/>
        </w:rPr>
        <w:t xml:space="preserve"> on board vessels, the present argument should be considered </w:t>
      </w:r>
      <w:r w:rsidR="0073518E" w:rsidRPr="00FD1F6E">
        <w:rPr>
          <w:rFonts w:ascii="Times New Roman" w:hAnsi="Times New Roman" w:cs="Times New Roman"/>
          <w:i/>
          <w:sz w:val="24"/>
          <w:szCs w:val="24"/>
          <w:lang w:val="en-GB"/>
        </w:rPr>
        <w:t>de lege ferenda</w:t>
      </w:r>
      <w:r w:rsidR="0073518E" w:rsidRPr="00FD1F6E">
        <w:rPr>
          <w:rFonts w:ascii="Times New Roman" w:hAnsi="Times New Roman" w:cs="Times New Roman"/>
          <w:sz w:val="24"/>
          <w:szCs w:val="24"/>
          <w:lang w:val="en-GB"/>
        </w:rPr>
        <w:t xml:space="preserve"> rather than reflecting</w:t>
      </w:r>
      <w:r w:rsidR="00F73A5C" w:rsidRPr="00FD1F6E">
        <w:rPr>
          <w:rFonts w:ascii="Times New Roman" w:hAnsi="Times New Roman" w:cs="Times New Roman"/>
          <w:sz w:val="24"/>
          <w:szCs w:val="24"/>
          <w:lang w:val="en-GB"/>
        </w:rPr>
        <w:t xml:space="preserve"> </w:t>
      </w:r>
      <w:r w:rsidR="000479B4" w:rsidRPr="00FD1F6E">
        <w:rPr>
          <w:rFonts w:ascii="Times New Roman" w:hAnsi="Times New Roman" w:cs="Times New Roman"/>
          <w:sz w:val="24"/>
          <w:szCs w:val="24"/>
          <w:lang w:val="en-GB"/>
        </w:rPr>
        <w:t>a</w:t>
      </w:r>
      <w:r w:rsidR="001E7C83" w:rsidRPr="00FD1F6E">
        <w:rPr>
          <w:rFonts w:ascii="Times New Roman" w:hAnsi="Times New Roman" w:cs="Times New Roman"/>
          <w:sz w:val="24"/>
          <w:szCs w:val="24"/>
          <w:lang w:val="en-GB"/>
        </w:rPr>
        <w:t>n existing</w:t>
      </w:r>
      <w:r w:rsidR="000479B4" w:rsidRPr="00FD1F6E">
        <w:rPr>
          <w:rFonts w:ascii="Times New Roman" w:hAnsi="Times New Roman" w:cs="Times New Roman"/>
          <w:sz w:val="24"/>
          <w:szCs w:val="24"/>
          <w:lang w:val="en-GB"/>
        </w:rPr>
        <w:t xml:space="preserve"> trend in </w:t>
      </w:r>
      <w:r w:rsidR="0073518E" w:rsidRPr="00FD1F6E">
        <w:rPr>
          <w:rFonts w:ascii="Times New Roman" w:hAnsi="Times New Roman" w:cs="Times New Roman"/>
          <w:sz w:val="24"/>
          <w:szCs w:val="24"/>
          <w:lang w:val="en-GB"/>
        </w:rPr>
        <w:t>international practice.</w:t>
      </w:r>
    </w:p>
    <w:p w:rsidR="0073518E" w:rsidRPr="00FD1F6E" w:rsidRDefault="0073518E" w:rsidP="0011339E">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 </w:t>
      </w:r>
    </w:p>
    <w:p w:rsidR="00A90A1F" w:rsidRDefault="0011339E" w:rsidP="0011339E">
      <w:pPr>
        <w:spacing w:after="0" w:line="360" w:lineRule="auto"/>
        <w:jc w:val="both"/>
        <w:rPr>
          <w:rFonts w:ascii="Times New Roman" w:hAnsi="Times New Roman" w:cs="Times New Roman"/>
          <w:sz w:val="24"/>
          <w:szCs w:val="24"/>
          <w:lang w:val="en-US"/>
        </w:rPr>
      </w:pPr>
      <w:r w:rsidRPr="00FD1F6E">
        <w:rPr>
          <w:rFonts w:ascii="Times New Roman" w:hAnsi="Times New Roman" w:cs="Times New Roman"/>
          <w:sz w:val="24"/>
          <w:szCs w:val="24"/>
          <w:lang w:val="en-GB"/>
        </w:rPr>
        <w:t>According to Article 12(2)(a)</w:t>
      </w:r>
      <w:r w:rsidR="00B0782E">
        <w:rPr>
          <w:rFonts w:ascii="Times New Roman" w:hAnsi="Times New Roman" w:cs="Times New Roman"/>
          <w:sz w:val="24"/>
          <w:szCs w:val="24"/>
          <w:lang w:val="en-GB"/>
        </w:rPr>
        <w:t xml:space="preserve"> of the ICC Statute</w:t>
      </w:r>
      <w:r w:rsidRPr="00FD1F6E">
        <w:rPr>
          <w:rFonts w:ascii="Times New Roman" w:hAnsi="Times New Roman" w:cs="Times New Roman"/>
          <w:sz w:val="24"/>
          <w:szCs w:val="24"/>
          <w:lang w:val="en-GB"/>
        </w:rPr>
        <w:t xml:space="preserve">, crimes committed on board vessels and aircrafts registered in a member state are subject to the </w:t>
      </w:r>
      <w:r w:rsidR="00D373C9" w:rsidRPr="00FD1F6E">
        <w:rPr>
          <w:rFonts w:ascii="Times New Roman" w:hAnsi="Times New Roman" w:cs="Times New Roman"/>
          <w:sz w:val="24"/>
          <w:szCs w:val="24"/>
          <w:lang w:val="en-GB"/>
        </w:rPr>
        <w:t xml:space="preserve">same </w:t>
      </w:r>
      <w:r w:rsidRPr="00FD1F6E">
        <w:rPr>
          <w:rFonts w:ascii="Times New Roman" w:hAnsi="Times New Roman" w:cs="Times New Roman"/>
          <w:sz w:val="24"/>
          <w:szCs w:val="24"/>
          <w:lang w:val="en-GB"/>
        </w:rPr>
        <w:t>ICC jur</w:t>
      </w:r>
      <w:r w:rsidR="00D373C9" w:rsidRPr="00FD1F6E">
        <w:rPr>
          <w:rFonts w:ascii="Times New Roman" w:hAnsi="Times New Roman" w:cs="Times New Roman"/>
          <w:sz w:val="24"/>
          <w:szCs w:val="24"/>
          <w:lang w:val="en-GB"/>
        </w:rPr>
        <w:t>isdiction as those that occur</w:t>
      </w:r>
      <w:r w:rsidR="0073518E" w:rsidRPr="00FD1F6E">
        <w:rPr>
          <w:rFonts w:ascii="Times New Roman" w:hAnsi="Times New Roman" w:cs="Times New Roman"/>
          <w:sz w:val="24"/>
          <w:szCs w:val="24"/>
          <w:lang w:val="en-GB"/>
        </w:rPr>
        <w:t xml:space="preserve"> </w:t>
      </w:r>
      <w:r w:rsidRPr="00FD1F6E">
        <w:rPr>
          <w:rFonts w:ascii="Times New Roman" w:hAnsi="Times New Roman" w:cs="Times New Roman"/>
          <w:sz w:val="24"/>
          <w:szCs w:val="24"/>
          <w:lang w:val="en-GB"/>
        </w:rPr>
        <w:t xml:space="preserve">on the territory of the State. </w:t>
      </w:r>
      <w:r w:rsidR="00B0782E">
        <w:rPr>
          <w:rFonts w:ascii="Times New Roman" w:hAnsi="Times New Roman" w:cs="Times New Roman"/>
          <w:sz w:val="24"/>
          <w:szCs w:val="24"/>
          <w:lang w:val="en-GB"/>
        </w:rPr>
        <w:t>Yet</w:t>
      </w:r>
      <w:r w:rsidR="009C53B2" w:rsidRPr="00FD1F6E">
        <w:rPr>
          <w:rFonts w:ascii="Times New Roman" w:hAnsi="Times New Roman" w:cs="Times New Roman"/>
          <w:sz w:val="24"/>
          <w:szCs w:val="24"/>
          <w:lang w:val="en-US"/>
        </w:rPr>
        <w:t>, although the jurisdictional basis is similar, the underlying facts relating to the characteristics of a vessel or aircr</w:t>
      </w:r>
      <w:r w:rsidR="00A90A1F" w:rsidRPr="00FD1F6E">
        <w:rPr>
          <w:rFonts w:ascii="Times New Roman" w:hAnsi="Times New Roman" w:cs="Times New Roman"/>
          <w:sz w:val="24"/>
          <w:szCs w:val="24"/>
          <w:lang w:val="en-US"/>
        </w:rPr>
        <w:t xml:space="preserve">aft, </w:t>
      </w:r>
      <w:r w:rsidR="00B0782E">
        <w:rPr>
          <w:rFonts w:ascii="Times New Roman" w:hAnsi="Times New Roman" w:cs="Times New Roman"/>
          <w:sz w:val="24"/>
          <w:szCs w:val="24"/>
          <w:lang w:val="en-US"/>
        </w:rPr>
        <w:t>will</w:t>
      </w:r>
      <w:r w:rsidR="00A90A1F" w:rsidRPr="00FD1F6E">
        <w:rPr>
          <w:rFonts w:ascii="Times New Roman" w:hAnsi="Times New Roman" w:cs="Times New Roman"/>
          <w:sz w:val="24"/>
          <w:szCs w:val="24"/>
          <w:lang w:val="en-US"/>
        </w:rPr>
        <w:t xml:space="preserve"> </w:t>
      </w:r>
      <w:r w:rsidR="00B0782E">
        <w:rPr>
          <w:rFonts w:ascii="Times New Roman" w:hAnsi="Times New Roman" w:cs="Times New Roman"/>
          <w:sz w:val="24"/>
          <w:szCs w:val="24"/>
          <w:lang w:val="en-US"/>
        </w:rPr>
        <w:t xml:space="preserve">necessarily be </w:t>
      </w:r>
      <w:r w:rsidR="00A90A1F" w:rsidRPr="00FD1F6E">
        <w:rPr>
          <w:rFonts w:ascii="Times New Roman" w:hAnsi="Times New Roman" w:cs="Times New Roman"/>
          <w:sz w:val="24"/>
          <w:szCs w:val="24"/>
          <w:lang w:val="en-US"/>
        </w:rPr>
        <w:t xml:space="preserve">different. </w:t>
      </w:r>
      <w:r w:rsidR="00B0782E">
        <w:rPr>
          <w:rFonts w:ascii="Times New Roman" w:hAnsi="Times New Roman" w:cs="Times New Roman"/>
          <w:sz w:val="24"/>
          <w:szCs w:val="24"/>
          <w:lang w:val="en-US"/>
        </w:rPr>
        <w:t>It must be</w:t>
      </w:r>
      <w:r w:rsidR="00A90A1F" w:rsidRPr="00FD1F6E">
        <w:rPr>
          <w:rFonts w:ascii="Times New Roman" w:hAnsi="Times New Roman" w:cs="Times New Roman"/>
          <w:sz w:val="24"/>
          <w:szCs w:val="24"/>
          <w:lang w:val="en-US"/>
        </w:rPr>
        <w:t xml:space="preserve"> acknowledge</w:t>
      </w:r>
      <w:r w:rsidR="00B0782E">
        <w:rPr>
          <w:rFonts w:ascii="Times New Roman" w:hAnsi="Times New Roman" w:cs="Times New Roman"/>
          <w:sz w:val="24"/>
          <w:szCs w:val="24"/>
          <w:lang w:val="en-US"/>
        </w:rPr>
        <w:t>d</w:t>
      </w:r>
      <w:r w:rsidR="00A90A1F" w:rsidRPr="00FD1F6E">
        <w:rPr>
          <w:rFonts w:ascii="Times New Roman" w:hAnsi="Times New Roman" w:cs="Times New Roman"/>
          <w:sz w:val="24"/>
          <w:szCs w:val="24"/>
          <w:lang w:val="en-US"/>
        </w:rPr>
        <w:t xml:space="preserve"> that the preparatory works </w:t>
      </w:r>
      <w:r w:rsidR="00D03024">
        <w:rPr>
          <w:rFonts w:ascii="Times New Roman" w:hAnsi="Times New Roman" w:cs="Times New Roman"/>
          <w:sz w:val="24"/>
          <w:szCs w:val="24"/>
          <w:lang w:val="en-US"/>
        </w:rPr>
        <w:t xml:space="preserve">of the Rome Statute </w:t>
      </w:r>
      <w:r w:rsidR="00A90A1F" w:rsidRPr="00FD1F6E">
        <w:rPr>
          <w:rFonts w:ascii="Times New Roman" w:hAnsi="Times New Roman" w:cs="Times New Roman"/>
          <w:sz w:val="24"/>
          <w:szCs w:val="24"/>
          <w:lang w:val="en-US"/>
        </w:rPr>
        <w:t xml:space="preserve">provide </w:t>
      </w:r>
      <w:r w:rsidR="00B0782E">
        <w:rPr>
          <w:rFonts w:ascii="Times New Roman" w:hAnsi="Times New Roman" w:cs="Times New Roman"/>
          <w:sz w:val="24"/>
          <w:szCs w:val="24"/>
          <w:lang w:val="en-US"/>
        </w:rPr>
        <w:t>no</w:t>
      </w:r>
      <w:r w:rsidR="00A90A1F" w:rsidRPr="00FD1F6E">
        <w:rPr>
          <w:rFonts w:ascii="Times New Roman" w:hAnsi="Times New Roman" w:cs="Times New Roman"/>
          <w:sz w:val="24"/>
          <w:szCs w:val="24"/>
          <w:lang w:val="en-US"/>
        </w:rPr>
        <w:t xml:space="preserve"> relevant clue on the parties’ intentions regarding crimes that occurred on board vessels</w:t>
      </w:r>
      <w:r w:rsidR="00B0782E">
        <w:rPr>
          <w:rFonts w:ascii="Times New Roman" w:hAnsi="Times New Roman" w:cs="Times New Roman"/>
          <w:sz w:val="24"/>
          <w:szCs w:val="24"/>
          <w:lang w:val="en-US"/>
        </w:rPr>
        <w:t>, and whether they recognised the distinct factual (and possibly legal) context this might entail</w:t>
      </w:r>
      <w:r w:rsidR="00A90A1F" w:rsidRPr="00FD1F6E">
        <w:rPr>
          <w:rFonts w:ascii="Times New Roman" w:hAnsi="Times New Roman" w:cs="Times New Roman"/>
          <w:sz w:val="24"/>
          <w:szCs w:val="24"/>
          <w:lang w:val="en-US"/>
        </w:rPr>
        <w:t>.</w:t>
      </w:r>
      <w:r w:rsidR="00A90A1F" w:rsidRPr="00FD1F6E">
        <w:rPr>
          <w:rStyle w:val="Rimandonotaapidipagina"/>
          <w:rFonts w:ascii="Times New Roman" w:hAnsi="Times New Roman" w:cs="Times New Roman"/>
          <w:sz w:val="24"/>
          <w:szCs w:val="24"/>
          <w:lang w:val="en-US"/>
        </w:rPr>
        <w:footnoteReference w:id="85"/>
      </w:r>
    </w:p>
    <w:p w:rsidR="00B0782E" w:rsidRPr="00FD1F6E" w:rsidRDefault="00B0782E" w:rsidP="0011339E">
      <w:pPr>
        <w:spacing w:after="0" w:line="360" w:lineRule="auto"/>
        <w:jc w:val="both"/>
        <w:rPr>
          <w:rFonts w:ascii="Times New Roman" w:hAnsi="Times New Roman" w:cs="Times New Roman"/>
          <w:sz w:val="24"/>
          <w:szCs w:val="24"/>
          <w:lang w:val="en-US"/>
        </w:rPr>
      </w:pPr>
    </w:p>
    <w:p w:rsidR="00084D12" w:rsidRDefault="00944CA2" w:rsidP="0011339E">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In dealing with the assessment of gravity, </w:t>
      </w:r>
      <w:r w:rsidR="00B0782E">
        <w:rPr>
          <w:rFonts w:ascii="Times New Roman" w:hAnsi="Times New Roman" w:cs="Times New Roman"/>
          <w:sz w:val="24"/>
          <w:szCs w:val="24"/>
          <w:lang w:val="en-GB"/>
        </w:rPr>
        <w:t>the abovementioned quantitative</w:t>
      </w:r>
      <w:r w:rsidR="0011339E" w:rsidRPr="00FD1F6E">
        <w:rPr>
          <w:rFonts w:ascii="Times New Roman" w:hAnsi="Times New Roman" w:cs="Times New Roman"/>
          <w:sz w:val="24"/>
          <w:szCs w:val="24"/>
          <w:lang w:val="en-GB"/>
        </w:rPr>
        <w:t xml:space="preserve"> and qualitative</w:t>
      </w:r>
      <w:r w:rsidR="00B0782E">
        <w:rPr>
          <w:rFonts w:ascii="Times New Roman" w:hAnsi="Times New Roman" w:cs="Times New Roman"/>
          <w:sz w:val="24"/>
          <w:szCs w:val="24"/>
          <w:lang w:val="en-GB"/>
        </w:rPr>
        <w:t xml:space="preserve"> factors</w:t>
      </w:r>
      <w:r w:rsidR="0011339E" w:rsidRPr="00FD1F6E">
        <w:rPr>
          <w:rFonts w:ascii="Times New Roman" w:hAnsi="Times New Roman" w:cs="Times New Roman"/>
          <w:sz w:val="24"/>
          <w:szCs w:val="24"/>
          <w:lang w:val="en-GB"/>
        </w:rPr>
        <w:t xml:space="preserve"> (scale, nature, manner of commission, impact) </w:t>
      </w:r>
      <w:r w:rsidRPr="00FD1F6E">
        <w:rPr>
          <w:rFonts w:ascii="Times New Roman" w:hAnsi="Times New Roman" w:cs="Times New Roman"/>
          <w:sz w:val="24"/>
          <w:szCs w:val="24"/>
          <w:lang w:val="en-GB"/>
        </w:rPr>
        <w:t>must</w:t>
      </w:r>
      <w:r w:rsidR="000479B4" w:rsidRPr="00FD1F6E">
        <w:rPr>
          <w:rFonts w:ascii="Times New Roman" w:hAnsi="Times New Roman" w:cs="Times New Roman"/>
          <w:sz w:val="24"/>
          <w:szCs w:val="24"/>
          <w:lang w:val="en-GB"/>
        </w:rPr>
        <w:t xml:space="preserve"> be applied </w:t>
      </w:r>
      <w:r w:rsidR="0011339E" w:rsidRPr="00FD1F6E">
        <w:rPr>
          <w:rFonts w:ascii="Times New Roman" w:hAnsi="Times New Roman" w:cs="Times New Roman"/>
          <w:sz w:val="24"/>
          <w:szCs w:val="24"/>
          <w:lang w:val="en-GB"/>
        </w:rPr>
        <w:t xml:space="preserve">in </w:t>
      </w:r>
      <w:r w:rsidR="00B0782E">
        <w:rPr>
          <w:rFonts w:ascii="Times New Roman" w:hAnsi="Times New Roman" w:cs="Times New Roman"/>
          <w:sz w:val="24"/>
          <w:szCs w:val="24"/>
          <w:lang w:val="en-GB"/>
        </w:rPr>
        <w:t>the context</w:t>
      </w:r>
      <w:r w:rsidR="0011339E" w:rsidRPr="00FD1F6E">
        <w:rPr>
          <w:rFonts w:ascii="Times New Roman" w:hAnsi="Times New Roman" w:cs="Times New Roman"/>
          <w:sz w:val="24"/>
          <w:szCs w:val="24"/>
          <w:lang w:val="en-GB"/>
        </w:rPr>
        <w:t xml:space="preserve"> of the </w:t>
      </w:r>
      <w:r w:rsidR="00B0782E">
        <w:rPr>
          <w:rFonts w:ascii="Times New Roman" w:hAnsi="Times New Roman" w:cs="Times New Roman"/>
          <w:sz w:val="24"/>
          <w:szCs w:val="24"/>
          <w:lang w:val="en-GB"/>
        </w:rPr>
        <w:t xml:space="preserve">relevant </w:t>
      </w:r>
      <w:r w:rsidR="0011339E" w:rsidRPr="00FD1F6E">
        <w:rPr>
          <w:rFonts w:ascii="Times New Roman" w:hAnsi="Times New Roman" w:cs="Times New Roman"/>
          <w:sz w:val="24"/>
          <w:szCs w:val="24"/>
          <w:lang w:val="en-GB"/>
        </w:rPr>
        <w:t>factual circumstances</w:t>
      </w:r>
      <w:r w:rsidR="000479B4" w:rsidRPr="00FD1F6E">
        <w:rPr>
          <w:rFonts w:ascii="Times New Roman" w:hAnsi="Times New Roman" w:cs="Times New Roman"/>
          <w:sz w:val="24"/>
          <w:szCs w:val="24"/>
          <w:lang w:val="en-GB"/>
        </w:rPr>
        <w:t xml:space="preserve">; in other words, the OTP must conduct </w:t>
      </w:r>
      <w:r w:rsidR="0011339E" w:rsidRPr="00FD1F6E">
        <w:rPr>
          <w:rFonts w:ascii="Times New Roman" w:hAnsi="Times New Roman" w:cs="Times New Roman"/>
          <w:sz w:val="24"/>
          <w:szCs w:val="24"/>
          <w:lang w:val="en-GB"/>
        </w:rPr>
        <w:t xml:space="preserve">a </w:t>
      </w:r>
      <w:r w:rsidR="0011339E" w:rsidRPr="00FD1F6E">
        <w:rPr>
          <w:rFonts w:ascii="Times New Roman" w:hAnsi="Times New Roman" w:cs="Times New Roman"/>
          <w:sz w:val="24"/>
          <w:szCs w:val="24"/>
          <w:lang w:val="en-GB"/>
        </w:rPr>
        <w:lastRenderedPageBreak/>
        <w:t xml:space="preserve">fact-specific analysis. Following this reasoning, the spatial element </w:t>
      </w:r>
      <w:r w:rsidR="002005F8" w:rsidRPr="00FD1F6E">
        <w:rPr>
          <w:rFonts w:ascii="Times New Roman" w:hAnsi="Times New Roman" w:cs="Times New Roman"/>
          <w:sz w:val="24"/>
          <w:szCs w:val="24"/>
          <w:lang w:val="en-GB"/>
        </w:rPr>
        <w:t>could</w:t>
      </w:r>
      <w:r w:rsidR="0011339E" w:rsidRPr="00FD1F6E">
        <w:rPr>
          <w:rFonts w:ascii="Times New Roman" w:hAnsi="Times New Roman" w:cs="Times New Roman"/>
          <w:sz w:val="24"/>
          <w:szCs w:val="24"/>
          <w:lang w:val="en-GB"/>
        </w:rPr>
        <w:t xml:space="preserve"> have influenced the factors under the OTP’s scrutiny.</w:t>
      </w:r>
      <w:r w:rsidR="002005F8" w:rsidRPr="00FD1F6E">
        <w:rPr>
          <w:rFonts w:ascii="Times New Roman" w:hAnsi="Times New Roman" w:cs="Times New Roman"/>
          <w:sz w:val="24"/>
          <w:szCs w:val="24"/>
          <w:lang w:val="en-GB"/>
        </w:rPr>
        <w:t xml:space="preserve"> </w:t>
      </w:r>
    </w:p>
    <w:p w:rsidR="00084D12" w:rsidRDefault="00084D12" w:rsidP="0011339E">
      <w:pPr>
        <w:spacing w:after="0" w:line="360" w:lineRule="auto"/>
        <w:jc w:val="both"/>
        <w:rPr>
          <w:rFonts w:ascii="Times New Roman" w:hAnsi="Times New Roman" w:cs="Times New Roman"/>
          <w:sz w:val="24"/>
          <w:szCs w:val="24"/>
          <w:lang w:val="en-GB"/>
        </w:rPr>
      </w:pPr>
    </w:p>
    <w:p w:rsidR="00EC2B13" w:rsidRPr="00FD1F6E" w:rsidRDefault="007D6C67" w:rsidP="0011339E">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In the Decision Not to Investigate, </w:t>
      </w:r>
      <w:r w:rsidR="0011339E" w:rsidRPr="00FD1F6E">
        <w:rPr>
          <w:rFonts w:ascii="Times New Roman" w:hAnsi="Times New Roman" w:cs="Times New Roman"/>
          <w:sz w:val="24"/>
          <w:szCs w:val="24"/>
          <w:lang w:val="en-GB"/>
        </w:rPr>
        <w:t>the OTP</w:t>
      </w:r>
      <w:r w:rsidRPr="00FD1F6E">
        <w:rPr>
          <w:rFonts w:ascii="Times New Roman" w:hAnsi="Times New Roman" w:cs="Times New Roman"/>
          <w:sz w:val="24"/>
          <w:szCs w:val="24"/>
          <w:lang w:val="en-GB"/>
        </w:rPr>
        <w:t xml:space="preserve"> partially assessed the scale of th</w:t>
      </w:r>
      <w:r w:rsidR="0011339E" w:rsidRPr="00FD1F6E">
        <w:rPr>
          <w:rFonts w:ascii="Times New Roman" w:hAnsi="Times New Roman" w:cs="Times New Roman"/>
          <w:sz w:val="24"/>
          <w:szCs w:val="24"/>
          <w:lang w:val="en-GB"/>
        </w:rPr>
        <w:t>e</w:t>
      </w:r>
      <w:r w:rsidRPr="00FD1F6E">
        <w:rPr>
          <w:rFonts w:ascii="Times New Roman" w:hAnsi="Times New Roman" w:cs="Times New Roman"/>
          <w:sz w:val="24"/>
          <w:szCs w:val="24"/>
          <w:lang w:val="en-GB"/>
        </w:rPr>
        <w:t xml:space="preserve"> alleged crimes that occurred on board </w:t>
      </w:r>
      <w:r w:rsidRPr="00FD1F6E">
        <w:rPr>
          <w:rFonts w:ascii="Times New Roman" w:hAnsi="Times New Roman" w:cs="Times New Roman"/>
          <w:i/>
          <w:sz w:val="24"/>
          <w:szCs w:val="24"/>
          <w:lang w:val="en-GB"/>
        </w:rPr>
        <w:t>the Mavi Marmara</w:t>
      </w:r>
      <w:r w:rsidR="0011339E" w:rsidRPr="00FD1F6E">
        <w:rPr>
          <w:rFonts w:ascii="Times New Roman" w:hAnsi="Times New Roman" w:cs="Times New Roman"/>
          <w:sz w:val="24"/>
          <w:szCs w:val="24"/>
          <w:lang w:val="en-GB"/>
        </w:rPr>
        <w:t xml:space="preserve"> in comparison with </w:t>
      </w:r>
      <w:r w:rsidRPr="00FD1F6E">
        <w:rPr>
          <w:rFonts w:ascii="Times New Roman" w:hAnsi="Times New Roman" w:cs="Times New Roman"/>
          <w:sz w:val="24"/>
          <w:szCs w:val="24"/>
          <w:lang w:val="en-GB"/>
        </w:rPr>
        <w:t xml:space="preserve">the </w:t>
      </w:r>
      <w:r w:rsidRPr="00FD1F6E">
        <w:rPr>
          <w:rFonts w:ascii="Times New Roman" w:hAnsi="Times New Roman" w:cs="Times New Roman"/>
          <w:i/>
          <w:sz w:val="24"/>
          <w:szCs w:val="24"/>
          <w:lang w:val="en-GB"/>
        </w:rPr>
        <w:t>Abu Garda et al</w:t>
      </w:r>
      <w:r w:rsidR="00084D12">
        <w:rPr>
          <w:rFonts w:ascii="Times New Roman" w:hAnsi="Times New Roman" w:cs="Times New Roman"/>
          <w:i/>
          <w:sz w:val="24"/>
          <w:szCs w:val="24"/>
          <w:lang w:val="en-GB"/>
        </w:rPr>
        <w:t>.</w:t>
      </w:r>
      <w:r w:rsidRPr="00FD1F6E">
        <w:rPr>
          <w:rFonts w:ascii="Times New Roman" w:hAnsi="Times New Roman" w:cs="Times New Roman"/>
          <w:sz w:val="24"/>
          <w:szCs w:val="24"/>
          <w:lang w:val="en-GB"/>
        </w:rPr>
        <w:t xml:space="preserve"> case.</w:t>
      </w:r>
      <w:r w:rsidRPr="00FD1F6E">
        <w:rPr>
          <w:rStyle w:val="Rimandonotaapidipagina"/>
          <w:rFonts w:ascii="Times New Roman" w:hAnsi="Times New Roman" w:cs="Times New Roman"/>
          <w:sz w:val="24"/>
          <w:szCs w:val="24"/>
          <w:lang w:val="en-GB"/>
        </w:rPr>
        <w:footnoteReference w:id="86"/>
      </w:r>
      <w:r w:rsidRPr="00FD1F6E">
        <w:rPr>
          <w:rFonts w:ascii="Times New Roman" w:hAnsi="Times New Roman" w:cs="Times New Roman"/>
          <w:sz w:val="24"/>
          <w:szCs w:val="24"/>
          <w:lang w:val="en-GB"/>
        </w:rPr>
        <w:t xml:space="preserve"> However, this case regards f</w:t>
      </w:r>
      <w:r w:rsidR="0011339E" w:rsidRPr="00FD1F6E">
        <w:rPr>
          <w:rFonts w:ascii="Times New Roman" w:hAnsi="Times New Roman" w:cs="Times New Roman"/>
          <w:sz w:val="24"/>
          <w:szCs w:val="24"/>
          <w:lang w:val="en-GB"/>
        </w:rPr>
        <w:t xml:space="preserve">acts that occurred on the mainland, where the wider territorial scope of the situation examined </w:t>
      </w:r>
      <w:r w:rsidR="00084D12">
        <w:rPr>
          <w:rFonts w:ascii="Times New Roman" w:hAnsi="Times New Roman" w:cs="Times New Roman"/>
          <w:sz w:val="24"/>
          <w:szCs w:val="24"/>
          <w:lang w:val="en-GB"/>
        </w:rPr>
        <w:t>normally – but not in this case – i</w:t>
      </w:r>
      <w:r w:rsidR="0011339E" w:rsidRPr="00FD1F6E">
        <w:rPr>
          <w:rFonts w:ascii="Times New Roman" w:hAnsi="Times New Roman" w:cs="Times New Roman"/>
          <w:sz w:val="24"/>
          <w:szCs w:val="24"/>
          <w:lang w:val="en-GB"/>
        </w:rPr>
        <w:t>s matched by the presence of a much greater number of victims.</w:t>
      </w:r>
      <w:r w:rsidR="0011339E" w:rsidRPr="00FD1F6E">
        <w:rPr>
          <w:rStyle w:val="Rimandonotaapidipagina"/>
          <w:rFonts w:ascii="Times New Roman" w:hAnsi="Times New Roman" w:cs="Times New Roman"/>
          <w:sz w:val="24"/>
          <w:szCs w:val="24"/>
          <w:lang w:val="en-GB"/>
        </w:rPr>
        <w:footnoteReference w:id="87"/>
      </w:r>
      <w:r w:rsidR="0011339E" w:rsidRPr="00FD1F6E">
        <w:rPr>
          <w:rFonts w:ascii="Times New Roman" w:hAnsi="Times New Roman" w:cs="Times New Roman"/>
          <w:sz w:val="24"/>
          <w:szCs w:val="24"/>
          <w:lang w:val="en-GB"/>
        </w:rPr>
        <w:t xml:space="preserve"> </w:t>
      </w:r>
      <w:r w:rsidR="00EC2B13" w:rsidRPr="00FD1F6E">
        <w:rPr>
          <w:rFonts w:ascii="Times New Roman" w:hAnsi="Times New Roman" w:cs="Times New Roman"/>
          <w:sz w:val="24"/>
          <w:szCs w:val="24"/>
          <w:lang w:val="en-GB"/>
        </w:rPr>
        <w:t>By contrast, there is room to argue that the O</w:t>
      </w:r>
      <w:r w:rsidR="00084D12">
        <w:rPr>
          <w:rFonts w:ascii="Times New Roman" w:hAnsi="Times New Roman" w:cs="Times New Roman"/>
          <w:sz w:val="24"/>
          <w:szCs w:val="24"/>
          <w:lang w:val="en-GB"/>
        </w:rPr>
        <w:t>T</w:t>
      </w:r>
      <w:r w:rsidR="00EC2B13" w:rsidRPr="00FD1F6E">
        <w:rPr>
          <w:rFonts w:ascii="Times New Roman" w:hAnsi="Times New Roman" w:cs="Times New Roman"/>
          <w:sz w:val="24"/>
          <w:szCs w:val="24"/>
          <w:lang w:val="en-GB"/>
        </w:rPr>
        <w:t>P could have better a</w:t>
      </w:r>
      <w:r w:rsidR="002034C5" w:rsidRPr="00FD1F6E">
        <w:rPr>
          <w:rFonts w:ascii="Times New Roman" w:hAnsi="Times New Roman" w:cs="Times New Roman"/>
          <w:sz w:val="24"/>
          <w:szCs w:val="24"/>
          <w:lang w:val="en-GB"/>
        </w:rPr>
        <w:t>ssessed the gravity issue in the</w:t>
      </w:r>
      <w:r w:rsidR="00EC2B13" w:rsidRPr="00FD1F6E">
        <w:rPr>
          <w:rFonts w:ascii="Times New Roman" w:hAnsi="Times New Roman" w:cs="Times New Roman"/>
          <w:sz w:val="24"/>
          <w:szCs w:val="24"/>
          <w:lang w:val="en-GB"/>
        </w:rPr>
        <w:t xml:space="preserve"> </w:t>
      </w:r>
      <w:r w:rsidR="00EC2B13" w:rsidRPr="00FD1F6E">
        <w:rPr>
          <w:rFonts w:ascii="Times New Roman" w:hAnsi="Times New Roman" w:cs="Times New Roman"/>
          <w:i/>
          <w:sz w:val="24"/>
          <w:szCs w:val="24"/>
          <w:lang w:val="en-GB"/>
        </w:rPr>
        <w:t>Mavi Marmara</w:t>
      </w:r>
      <w:r w:rsidR="00084D12">
        <w:rPr>
          <w:rFonts w:ascii="Times New Roman" w:hAnsi="Times New Roman" w:cs="Times New Roman"/>
          <w:sz w:val="24"/>
          <w:szCs w:val="24"/>
          <w:lang w:val="en-GB"/>
        </w:rPr>
        <w:t xml:space="preserve"> affair</w:t>
      </w:r>
      <w:r w:rsidR="00EC2B13" w:rsidRPr="00FD1F6E">
        <w:rPr>
          <w:rFonts w:ascii="Times New Roman" w:hAnsi="Times New Roman" w:cs="Times New Roman"/>
          <w:sz w:val="24"/>
          <w:szCs w:val="24"/>
          <w:lang w:val="en-GB"/>
        </w:rPr>
        <w:t xml:space="preserve"> by referring to alleged crimes that occurred on board other vessels.</w:t>
      </w:r>
    </w:p>
    <w:p w:rsidR="00084D12" w:rsidRDefault="00084D12" w:rsidP="002034C5">
      <w:pPr>
        <w:spacing w:after="0" w:line="360" w:lineRule="auto"/>
        <w:jc w:val="both"/>
        <w:rPr>
          <w:rFonts w:ascii="Times New Roman" w:hAnsi="Times New Roman" w:cs="Times New Roman"/>
          <w:sz w:val="24"/>
          <w:szCs w:val="24"/>
          <w:lang w:val="en-GB"/>
        </w:rPr>
      </w:pPr>
    </w:p>
    <w:p w:rsidR="002034C5" w:rsidRDefault="002727DB" w:rsidP="002034C5">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In order to interpret a</w:t>
      </w:r>
      <w:r w:rsidR="008C6361" w:rsidRPr="00FD1F6E">
        <w:rPr>
          <w:rFonts w:ascii="Times New Roman" w:hAnsi="Times New Roman" w:cs="Times New Roman"/>
          <w:sz w:val="24"/>
          <w:szCs w:val="24"/>
          <w:lang w:val="en-GB"/>
        </w:rPr>
        <w:t xml:space="preserve"> generic term that is not defined in a treaty, such as ‘gravity’ in the ICC Statute</w:t>
      </w:r>
      <w:r w:rsidRPr="00FD1F6E">
        <w:rPr>
          <w:rFonts w:ascii="Times New Roman" w:hAnsi="Times New Roman" w:cs="Times New Roman"/>
          <w:sz w:val="24"/>
          <w:szCs w:val="24"/>
          <w:lang w:val="en-GB"/>
        </w:rPr>
        <w:t xml:space="preserve">, </w:t>
      </w:r>
      <w:r w:rsidR="00D03024">
        <w:rPr>
          <w:rFonts w:ascii="Times New Roman" w:hAnsi="Times New Roman" w:cs="Times New Roman"/>
          <w:sz w:val="24"/>
          <w:szCs w:val="24"/>
          <w:lang w:val="en-GB"/>
        </w:rPr>
        <w:t xml:space="preserve">it </w:t>
      </w:r>
      <w:r w:rsidRPr="00FD1F6E">
        <w:rPr>
          <w:rFonts w:ascii="Times New Roman" w:hAnsi="Times New Roman" w:cs="Times New Roman"/>
          <w:sz w:val="24"/>
          <w:szCs w:val="24"/>
          <w:lang w:val="en-GB"/>
        </w:rPr>
        <w:t xml:space="preserve">can be useful to make </w:t>
      </w:r>
      <w:r w:rsidR="00D03024">
        <w:rPr>
          <w:rFonts w:ascii="Times New Roman" w:hAnsi="Times New Roman" w:cs="Times New Roman"/>
          <w:sz w:val="24"/>
          <w:szCs w:val="24"/>
          <w:lang w:val="en-GB"/>
        </w:rPr>
        <w:t xml:space="preserve">a </w:t>
      </w:r>
      <w:r w:rsidRPr="00FD1F6E">
        <w:rPr>
          <w:rFonts w:ascii="Times New Roman" w:hAnsi="Times New Roman" w:cs="Times New Roman"/>
          <w:sz w:val="24"/>
          <w:szCs w:val="24"/>
          <w:lang w:val="en-GB"/>
        </w:rPr>
        <w:t>comparison between different cases and situations.</w:t>
      </w:r>
      <w:r w:rsidRPr="00FD1F6E">
        <w:rPr>
          <w:rStyle w:val="Rimandonotaapidipagina"/>
          <w:rFonts w:ascii="Times New Roman" w:hAnsi="Times New Roman" w:cs="Times New Roman"/>
          <w:sz w:val="24"/>
          <w:szCs w:val="24"/>
          <w:lang w:val="en-GB"/>
        </w:rPr>
        <w:footnoteReference w:id="88"/>
      </w:r>
      <w:r w:rsidRPr="00FD1F6E">
        <w:rPr>
          <w:rFonts w:ascii="Times New Roman" w:hAnsi="Times New Roman" w:cs="Times New Roman"/>
          <w:sz w:val="24"/>
          <w:szCs w:val="24"/>
          <w:lang w:val="en-GB"/>
        </w:rPr>
        <w:t xml:space="preserve"> </w:t>
      </w:r>
      <w:r w:rsidR="00BB1F23">
        <w:rPr>
          <w:rFonts w:ascii="Times New Roman" w:hAnsi="Times New Roman" w:cs="Times New Roman"/>
          <w:sz w:val="24"/>
          <w:szCs w:val="24"/>
          <w:lang w:val="en-GB"/>
        </w:rPr>
        <w:t xml:space="preserve">Yet care must be taken in the comparisons which are made, so as to accommodate the fact-sensitive, relative nature of concepts such as gravity. </w:t>
      </w:r>
      <w:r w:rsidRPr="00FD1F6E">
        <w:rPr>
          <w:rFonts w:ascii="Times New Roman" w:hAnsi="Times New Roman" w:cs="Times New Roman"/>
          <w:sz w:val="24"/>
          <w:szCs w:val="24"/>
          <w:lang w:val="en-GB"/>
        </w:rPr>
        <w:t>S</w:t>
      </w:r>
      <w:r w:rsidR="008C6361" w:rsidRPr="00FD1F6E">
        <w:rPr>
          <w:rFonts w:ascii="Times New Roman" w:hAnsi="Times New Roman" w:cs="Times New Roman"/>
          <w:sz w:val="24"/>
          <w:szCs w:val="24"/>
          <w:lang w:val="en-GB"/>
        </w:rPr>
        <w:t xml:space="preserve">omething has sufficient gravity only in comparison with other facts, thus, the material circumstances of the facts under the ‘gravity scrutiny’ are decisive in order to </w:t>
      </w:r>
      <w:r w:rsidR="008C6361" w:rsidRPr="006E0F65">
        <w:rPr>
          <w:rFonts w:ascii="Times New Roman" w:hAnsi="Times New Roman" w:cs="Times New Roman"/>
          <w:sz w:val="24"/>
          <w:szCs w:val="24"/>
          <w:lang w:val="en-GB"/>
        </w:rPr>
        <w:t>de</w:t>
      </w:r>
      <w:r w:rsidR="00D03024" w:rsidRPr="006E0F65">
        <w:rPr>
          <w:rFonts w:ascii="Times New Roman" w:hAnsi="Times New Roman" w:cs="Times New Roman"/>
          <w:sz w:val="24"/>
          <w:szCs w:val="24"/>
          <w:lang w:val="en-GB"/>
        </w:rPr>
        <w:t>termine</w:t>
      </w:r>
      <w:r w:rsidR="008C6361" w:rsidRPr="00FD1F6E">
        <w:rPr>
          <w:rFonts w:ascii="Times New Roman" w:hAnsi="Times New Roman" w:cs="Times New Roman"/>
          <w:sz w:val="24"/>
          <w:szCs w:val="24"/>
          <w:lang w:val="en-GB"/>
        </w:rPr>
        <w:t xml:space="preserve"> with which other events one should make the comparison. In other words, it is not possible to identify a clear ordinary meaning of the word ‘gravity’, but rather, it must be evaluated in relation to the actual context.</w:t>
      </w:r>
      <w:r w:rsidR="008C6361" w:rsidRPr="00FD1F6E">
        <w:rPr>
          <w:rStyle w:val="Rimandonotaapidipagina"/>
          <w:rFonts w:ascii="Times New Roman" w:hAnsi="Times New Roman" w:cs="Times New Roman"/>
          <w:sz w:val="24"/>
          <w:szCs w:val="24"/>
          <w:lang w:val="en-GB"/>
        </w:rPr>
        <w:footnoteReference w:id="89"/>
      </w:r>
      <w:r w:rsidR="008C6361" w:rsidRPr="00FD1F6E">
        <w:rPr>
          <w:rFonts w:ascii="Times New Roman" w:hAnsi="Times New Roman" w:cs="Times New Roman"/>
          <w:sz w:val="24"/>
          <w:szCs w:val="24"/>
          <w:lang w:val="en-GB"/>
        </w:rPr>
        <w:t xml:space="preserve"> The gravity threshold simply identifies a category, something that does not exist </w:t>
      </w:r>
      <w:r w:rsidR="008C6361" w:rsidRPr="00FD1F6E">
        <w:rPr>
          <w:rFonts w:ascii="Times New Roman" w:hAnsi="Times New Roman" w:cs="Times New Roman"/>
          <w:i/>
          <w:sz w:val="24"/>
          <w:szCs w:val="24"/>
          <w:lang w:val="en-GB"/>
        </w:rPr>
        <w:t>per se</w:t>
      </w:r>
      <w:r w:rsidR="008C6361" w:rsidRPr="00FD1F6E">
        <w:rPr>
          <w:rFonts w:ascii="Times New Roman" w:hAnsi="Times New Roman" w:cs="Times New Roman"/>
          <w:sz w:val="24"/>
          <w:szCs w:val="24"/>
          <w:lang w:val="en-GB"/>
        </w:rPr>
        <w:t>, but only in relation to a</w:t>
      </w:r>
      <w:r w:rsidR="006E0F65">
        <w:rPr>
          <w:rFonts w:ascii="Times New Roman" w:hAnsi="Times New Roman" w:cs="Times New Roman"/>
          <w:sz w:val="24"/>
          <w:szCs w:val="24"/>
          <w:lang w:val="en-GB"/>
        </w:rPr>
        <w:t>n</w:t>
      </w:r>
      <w:r w:rsidR="008C6361" w:rsidRPr="00FD1F6E">
        <w:rPr>
          <w:rFonts w:ascii="Times New Roman" w:hAnsi="Times New Roman" w:cs="Times New Roman"/>
          <w:sz w:val="24"/>
          <w:szCs w:val="24"/>
          <w:lang w:val="en-GB"/>
        </w:rPr>
        <w:t xml:space="preserve"> idealised cognitive framework that is, in part, internal to the situation to which the provision should be applied, and partly external, i.e. it depends on the empirical elements that the interpreter uses as</w:t>
      </w:r>
      <w:r w:rsidR="006E0F65">
        <w:rPr>
          <w:rFonts w:ascii="Times New Roman" w:hAnsi="Times New Roman" w:cs="Times New Roman"/>
          <w:sz w:val="24"/>
          <w:szCs w:val="24"/>
          <w:lang w:val="en-GB"/>
        </w:rPr>
        <w:t xml:space="preserve"> a</w:t>
      </w:r>
      <w:r w:rsidR="008C6361" w:rsidRPr="00FD1F6E">
        <w:rPr>
          <w:rFonts w:ascii="Times New Roman" w:hAnsi="Times New Roman" w:cs="Times New Roman"/>
          <w:sz w:val="24"/>
          <w:szCs w:val="24"/>
          <w:lang w:val="en-GB"/>
        </w:rPr>
        <w:t xml:space="preserve"> comparison.</w:t>
      </w:r>
      <w:r w:rsidR="008C6361" w:rsidRPr="00FD1F6E">
        <w:rPr>
          <w:rStyle w:val="Rimandonotaapidipagina"/>
          <w:rFonts w:ascii="Times New Roman" w:hAnsi="Times New Roman" w:cs="Times New Roman"/>
          <w:sz w:val="24"/>
          <w:szCs w:val="24"/>
          <w:lang w:val="en-GB"/>
        </w:rPr>
        <w:footnoteReference w:id="90"/>
      </w:r>
      <w:r w:rsidR="008C6361" w:rsidRPr="00FD1F6E">
        <w:rPr>
          <w:rFonts w:ascii="Times New Roman" w:hAnsi="Times New Roman" w:cs="Times New Roman"/>
          <w:sz w:val="24"/>
          <w:szCs w:val="24"/>
          <w:lang w:val="en-GB"/>
        </w:rPr>
        <w:t xml:space="preserve"> </w:t>
      </w:r>
      <w:r w:rsidR="002034C5" w:rsidRPr="00FD1F6E">
        <w:rPr>
          <w:rFonts w:ascii="Times New Roman" w:hAnsi="Times New Roman" w:cs="Times New Roman"/>
          <w:sz w:val="24"/>
          <w:szCs w:val="24"/>
          <w:lang w:val="en-GB"/>
        </w:rPr>
        <w:t xml:space="preserve">Moreover, since gravity is never defined in the Statute, its interpretation should be related to the material objects and circumstances to </w:t>
      </w:r>
      <w:r w:rsidR="002034C5" w:rsidRPr="00FD1F6E">
        <w:rPr>
          <w:rFonts w:ascii="Times New Roman" w:hAnsi="Times New Roman" w:cs="Times New Roman"/>
          <w:sz w:val="24"/>
          <w:szCs w:val="24"/>
          <w:lang w:val="en-GB"/>
        </w:rPr>
        <w:lastRenderedPageBreak/>
        <w:t>which the provision must be applied because of the clear link between the abstract interpretation and the concrete application of a norm.</w:t>
      </w:r>
      <w:r w:rsidR="002034C5" w:rsidRPr="00FD1F6E">
        <w:rPr>
          <w:rStyle w:val="Rimandonotaapidipagina"/>
          <w:rFonts w:ascii="Times New Roman" w:hAnsi="Times New Roman" w:cs="Times New Roman"/>
          <w:sz w:val="24"/>
          <w:szCs w:val="24"/>
          <w:lang w:val="en-GB"/>
        </w:rPr>
        <w:footnoteReference w:id="91"/>
      </w:r>
      <w:r w:rsidR="002034C5" w:rsidRPr="00FD1F6E">
        <w:rPr>
          <w:rFonts w:ascii="Times New Roman" w:hAnsi="Times New Roman" w:cs="Times New Roman"/>
          <w:sz w:val="24"/>
          <w:szCs w:val="24"/>
          <w:lang w:val="en-GB"/>
        </w:rPr>
        <w:t xml:space="preserve"> </w:t>
      </w:r>
      <w:r w:rsidR="00EC2B13" w:rsidRPr="00FD1F6E">
        <w:rPr>
          <w:rFonts w:ascii="Times New Roman" w:hAnsi="Times New Roman" w:cs="Times New Roman"/>
          <w:sz w:val="24"/>
          <w:szCs w:val="24"/>
          <w:lang w:val="en-GB"/>
        </w:rPr>
        <w:t>As recently demonstrated with regard to the interpretation of treaties establishing international boundaries,</w:t>
      </w:r>
      <w:r w:rsidR="00EC2B13" w:rsidRPr="00FD1F6E">
        <w:rPr>
          <w:rStyle w:val="Rimandonotaapidipagina"/>
          <w:rFonts w:ascii="Times New Roman" w:hAnsi="Times New Roman" w:cs="Times New Roman"/>
          <w:sz w:val="24"/>
          <w:szCs w:val="24"/>
          <w:lang w:val="en-GB"/>
        </w:rPr>
        <w:footnoteReference w:id="92"/>
      </w:r>
      <w:r w:rsidR="00EC2B13" w:rsidRPr="00FD1F6E">
        <w:rPr>
          <w:rFonts w:ascii="Times New Roman" w:hAnsi="Times New Roman" w:cs="Times New Roman"/>
          <w:sz w:val="24"/>
          <w:szCs w:val="24"/>
          <w:lang w:val="en-GB"/>
        </w:rPr>
        <w:t xml:space="preserve"> the contingent physical dimensions of the objects to which treaty provisions refer are relevant for their interpretation. </w:t>
      </w:r>
    </w:p>
    <w:p w:rsidR="00BB1F23" w:rsidRPr="00FD1F6E" w:rsidRDefault="00BB1F23" w:rsidP="002034C5">
      <w:pPr>
        <w:spacing w:after="0" w:line="360" w:lineRule="auto"/>
        <w:jc w:val="both"/>
        <w:rPr>
          <w:rFonts w:ascii="Times New Roman" w:hAnsi="Times New Roman" w:cs="Times New Roman"/>
          <w:sz w:val="24"/>
          <w:szCs w:val="24"/>
          <w:lang w:val="en-GB"/>
        </w:rPr>
      </w:pPr>
    </w:p>
    <w:p w:rsidR="00BB1F23" w:rsidRDefault="00F45839" w:rsidP="0011339E">
      <w:pPr>
        <w:spacing w:after="0" w:line="360" w:lineRule="auto"/>
        <w:jc w:val="both"/>
        <w:rPr>
          <w:rStyle w:val="st"/>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With regard to the boarding of the </w:t>
      </w:r>
      <w:r w:rsidRPr="00FD1F6E">
        <w:rPr>
          <w:rFonts w:ascii="Times New Roman" w:hAnsi="Times New Roman" w:cs="Times New Roman"/>
          <w:i/>
          <w:sz w:val="24"/>
          <w:szCs w:val="24"/>
          <w:lang w:val="en-GB"/>
        </w:rPr>
        <w:t>Mavi Marmara</w:t>
      </w:r>
      <w:r w:rsidRPr="00FD1F6E">
        <w:rPr>
          <w:rFonts w:ascii="Times New Roman" w:hAnsi="Times New Roman" w:cs="Times New Roman"/>
          <w:sz w:val="24"/>
          <w:szCs w:val="24"/>
          <w:lang w:val="en-GB"/>
        </w:rPr>
        <w:t>, t</w:t>
      </w:r>
      <w:r w:rsidR="008C6361" w:rsidRPr="00FD1F6E">
        <w:rPr>
          <w:rFonts w:ascii="Times New Roman" w:hAnsi="Times New Roman" w:cs="Times New Roman"/>
          <w:sz w:val="24"/>
          <w:szCs w:val="24"/>
          <w:lang w:val="en-GB"/>
        </w:rPr>
        <w:t xml:space="preserve">he obvious flaw in this approach is that </w:t>
      </w:r>
      <w:r w:rsidR="00BB1F23">
        <w:rPr>
          <w:rFonts w:ascii="Times New Roman" w:hAnsi="Times New Roman" w:cs="Times New Roman"/>
          <w:sz w:val="24"/>
          <w:szCs w:val="24"/>
          <w:lang w:val="en-GB"/>
        </w:rPr>
        <w:t>there is no significant ICC’s case law on</w:t>
      </w:r>
      <w:r w:rsidR="008C6361" w:rsidRPr="00FD1F6E">
        <w:rPr>
          <w:rStyle w:val="st"/>
          <w:rFonts w:ascii="Times New Roman" w:hAnsi="Times New Roman" w:cs="Times New Roman"/>
          <w:sz w:val="24"/>
          <w:szCs w:val="24"/>
          <w:lang w:val="en-GB"/>
        </w:rPr>
        <w:t xml:space="preserve"> crimes committed on board vessels</w:t>
      </w:r>
      <w:r w:rsidR="007A1EFB" w:rsidRPr="00FD1F6E">
        <w:rPr>
          <w:rStyle w:val="st"/>
          <w:rFonts w:ascii="Times New Roman" w:hAnsi="Times New Roman" w:cs="Times New Roman"/>
          <w:sz w:val="24"/>
          <w:szCs w:val="24"/>
          <w:lang w:val="en-GB"/>
        </w:rPr>
        <w:t>,</w:t>
      </w:r>
      <w:r w:rsidR="00AF2242" w:rsidRPr="00FD1F6E">
        <w:rPr>
          <w:rStyle w:val="Rimandonotaapidipagina"/>
          <w:rFonts w:ascii="Times New Roman" w:hAnsi="Times New Roman" w:cs="Times New Roman"/>
          <w:sz w:val="24"/>
          <w:szCs w:val="24"/>
          <w:lang w:val="en-GB"/>
        </w:rPr>
        <w:footnoteReference w:id="93"/>
      </w:r>
      <w:r w:rsidR="007A1EFB" w:rsidRPr="00FD1F6E">
        <w:rPr>
          <w:rStyle w:val="st"/>
          <w:rFonts w:ascii="Times New Roman" w:hAnsi="Times New Roman" w:cs="Times New Roman"/>
          <w:sz w:val="24"/>
          <w:szCs w:val="24"/>
          <w:lang w:val="en-GB"/>
        </w:rPr>
        <w:t xml:space="preserve"> a topic that is neglected even by academic commentators</w:t>
      </w:r>
      <w:r w:rsidR="008C6361" w:rsidRPr="00FD1F6E">
        <w:rPr>
          <w:rStyle w:val="st"/>
          <w:rFonts w:ascii="Times New Roman" w:hAnsi="Times New Roman" w:cs="Times New Roman"/>
          <w:sz w:val="24"/>
          <w:szCs w:val="24"/>
          <w:lang w:val="en-GB"/>
        </w:rPr>
        <w:t>.</w:t>
      </w:r>
      <w:r w:rsidR="007A1EFB" w:rsidRPr="00FD1F6E">
        <w:rPr>
          <w:rStyle w:val="Rimandonotaapidipagina"/>
          <w:rFonts w:ascii="Times New Roman" w:hAnsi="Times New Roman" w:cs="Times New Roman"/>
          <w:sz w:val="24"/>
          <w:szCs w:val="24"/>
          <w:lang w:val="en-GB"/>
        </w:rPr>
        <w:footnoteReference w:id="94"/>
      </w:r>
      <w:r w:rsidR="008C6361" w:rsidRPr="00FD1F6E">
        <w:rPr>
          <w:rStyle w:val="st"/>
          <w:rFonts w:ascii="Times New Roman" w:hAnsi="Times New Roman" w:cs="Times New Roman"/>
          <w:sz w:val="24"/>
          <w:szCs w:val="24"/>
          <w:lang w:val="en-GB"/>
        </w:rPr>
        <w:t xml:space="preserve"> </w:t>
      </w:r>
      <w:r w:rsidR="00BB1F23">
        <w:rPr>
          <w:rStyle w:val="st"/>
          <w:rFonts w:ascii="Times New Roman" w:hAnsi="Times New Roman" w:cs="Times New Roman"/>
          <w:sz w:val="24"/>
          <w:szCs w:val="24"/>
          <w:lang w:val="en-GB"/>
        </w:rPr>
        <w:t xml:space="preserve">The only situation examined by the OTP </w:t>
      </w:r>
      <w:r w:rsidR="00997F6C">
        <w:rPr>
          <w:rStyle w:val="st"/>
          <w:rFonts w:ascii="Times New Roman" w:hAnsi="Times New Roman" w:cs="Times New Roman"/>
          <w:sz w:val="24"/>
          <w:szCs w:val="24"/>
          <w:lang w:val="en-GB"/>
        </w:rPr>
        <w:t xml:space="preserve">that included alleged crimes committed on board a vessel </w:t>
      </w:r>
      <w:r w:rsidR="00BB1F23">
        <w:rPr>
          <w:rStyle w:val="st"/>
          <w:rFonts w:ascii="Times New Roman" w:hAnsi="Times New Roman" w:cs="Times New Roman"/>
          <w:sz w:val="24"/>
          <w:szCs w:val="24"/>
          <w:lang w:val="en-GB"/>
        </w:rPr>
        <w:t xml:space="preserve">was </w:t>
      </w:r>
      <w:r w:rsidR="00BB1F23" w:rsidRPr="00FD1F6E">
        <w:rPr>
          <w:rStyle w:val="st"/>
          <w:rFonts w:ascii="Times New Roman" w:hAnsi="Times New Roman" w:cs="Times New Roman"/>
          <w:sz w:val="24"/>
          <w:szCs w:val="24"/>
          <w:lang w:val="en-GB"/>
        </w:rPr>
        <w:t xml:space="preserve">the </w:t>
      </w:r>
      <w:r w:rsidR="00BB1F23" w:rsidRPr="00FD1F6E">
        <w:rPr>
          <w:rStyle w:val="st"/>
          <w:rFonts w:ascii="Times New Roman" w:hAnsi="Times New Roman" w:cs="Times New Roman"/>
          <w:i/>
          <w:sz w:val="24"/>
          <w:szCs w:val="24"/>
          <w:lang w:val="en-GB"/>
        </w:rPr>
        <w:t>ROKS Cheonan</w:t>
      </w:r>
      <w:r w:rsidR="00BB1F23" w:rsidRPr="00FD1F6E">
        <w:rPr>
          <w:rStyle w:val="st"/>
          <w:rFonts w:ascii="Times New Roman" w:hAnsi="Times New Roman" w:cs="Times New Roman"/>
          <w:sz w:val="24"/>
          <w:szCs w:val="24"/>
          <w:lang w:val="en-GB"/>
        </w:rPr>
        <w:t xml:space="preserve"> sinking</w:t>
      </w:r>
      <w:r w:rsidR="00BB1F23">
        <w:rPr>
          <w:rStyle w:val="st"/>
          <w:rFonts w:ascii="Times New Roman" w:hAnsi="Times New Roman" w:cs="Times New Roman"/>
          <w:sz w:val="24"/>
          <w:szCs w:val="24"/>
          <w:lang w:val="en-GB"/>
        </w:rPr>
        <w:t xml:space="preserve"> – during which</w:t>
      </w:r>
      <w:r w:rsidR="00BB1F23" w:rsidRPr="00FD1F6E">
        <w:rPr>
          <w:rStyle w:val="st"/>
          <w:rFonts w:ascii="Times New Roman" w:hAnsi="Times New Roman" w:cs="Times New Roman"/>
          <w:sz w:val="24"/>
          <w:szCs w:val="24"/>
          <w:lang w:val="en-GB"/>
        </w:rPr>
        <w:t xml:space="preserve"> a South Korean corvette was destroyed and 46 men lost their lives</w:t>
      </w:r>
      <w:r w:rsidR="00997F6C">
        <w:rPr>
          <w:rStyle w:val="st"/>
          <w:rFonts w:ascii="Times New Roman" w:hAnsi="Times New Roman" w:cs="Times New Roman"/>
          <w:sz w:val="24"/>
          <w:szCs w:val="24"/>
          <w:lang w:val="en-GB"/>
        </w:rPr>
        <w:t xml:space="preserve">; however, this precedent </w:t>
      </w:r>
      <w:r w:rsidR="00BB1F23" w:rsidRPr="00FD1F6E">
        <w:rPr>
          <w:rStyle w:val="st"/>
          <w:rFonts w:ascii="Times New Roman" w:hAnsi="Times New Roman" w:cs="Times New Roman"/>
          <w:sz w:val="24"/>
          <w:szCs w:val="24"/>
          <w:lang w:val="en-GB"/>
        </w:rPr>
        <w:t>is not relevant since it was an attack against a military vessel, which is a legitimate target under international humanitarian law.</w:t>
      </w:r>
      <w:r w:rsidR="00BB1F23" w:rsidRPr="00FD1F6E">
        <w:rPr>
          <w:rStyle w:val="Rimandonotaapidipagina"/>
          <w:rFonts w:ascii="Times New Roman" w:hAnsi="Times New Roman" w:cs="Times New Roman"/>
          <w:sz w:val="24"/>
          <w:szCs w:val="24"/>
          <w:lang w:val="en-GB"/>
        </w:rPr>
        <w:footnoteReference w:id="95"/>
      </w:r>
      <w:r w:rsidR="00BB1F23" w:rsidRPr="00FD1F6E">
        <w:rPr>
          <w:rStyle w:val="st"/>
          <w:rFonts w:ascii="Times New Roman" w:hAnsi="Times New Roman" w:cs="Times New Roman"/>
          <w:sz w:val="24"/>
          <w:szCs w:val="24"/>
          <w:lang w:val="en-GB"/>
        </w:rPr>
        <w:t xml:space="preserve"> </w:t>
      </w:r>
      <w:r w:rsidR="00BB1F23" w:rsidRPr="00997F6C">
        <w:rPr>
          <w:rStyle w:val="st"/>
          <w:rFonts w:ascii="Times New Roman" w:hAnsi="Times New Roman" w:cs="Times New Roman"/>
          <w:sz w:val="24"/>
          <w:szCs w:val="24"/>
          <w:lang w:val="en-GB"/>
        </w:rPr>
        <w:t xml:space="preserve">Accordingly, the OTP concluded that there were no reasonable </w:t>
      </w:r>
      <w:r w:rsidR="00BB1F23" w:rsidRPr="00997F6C">
        <w:rPr>
          <w:rFonts w:ascii="Times New Roman" w:hAnsi="Times New Roman" w:cs="Times New Roman"/>
          <w:sz w:val="24"/>
          <w:szCs w:val="24"/>
          <w:lang w:val="en-GB"/>
        </w:rPr>
        <w:t>grounds to believe that war crimes may have been committed</w:t>
      </w:r>
      <w:r w:rsidR="00997F6C">
        <w:rPr>
          <w:rFonts w:ascii="Times New Roman" w:hAnsi="Times New Roman" w:cs="Times New Roman"/>
          <w:sz w:val="24"/>
          <w:szCs w:val="24"/>
          <w:lang w:val="en-GB"/>
        </w:rPr>
        <w:t>, without an examination regarding the gravity of the potential case</w:t>
      </w:r>
      <w:r w:rsidR="00BB1F23" w:rsidRPr="00997F6C">
        <w:rPr>
          <w:rFonts w:ascii="Times New Roman" w:hAnsi="Times New Roman" w:cs="Times New Roman"/>
          <w:sz w:val="24"/>
          <w:szCs w:val="24"/>
          <w:lang w:val="en-GB"/>
        </w:rPr>
        <w:t>.</w:t>
      </w:r>
      <w:r w:rsidR="00BB1F23" w:rsidRPr="00997F6C">
        <w:rPr>
          <w:rStyle w:val="Rimandonotaapidipagina"/>
          <w:rFonts w:ascii="Times New Roman" w:hAnsi="Times New Roman" w:cs="Times New Roman"/>
          <w:sz w:val="24"/>
          <w:szCs w:val="24"/>
          <w:lang w:val="en-GB"/>
        </w:rPr>
        <w:footnoteReference w:id="96"/>
      </w:r>
    </w:p>
    <w:p w:rsidR="00BB1F23" w:rsidRDefault="00BB1F23" w:rsidP="0011339E">
      <w:pPr>
        <w:spacing w:after="0" w:line="360" w:lineRule="auto"/>
        <w:jc w:val="both"/>
        <w:rPr>
          <w:rStyle w:val="st"/>
          <w:rFonts w:ascii="Times New Roman" w:hAnsi="Times New Roman" w:cs="Times New Roman"/>
          <w:sz w:val="24"/>
          <w:szCs w:val="24"/>
          <w:lang w:val="en-GB"/>
        </w:rPr>
      </w:pPr>
    </w:p>
    <w:p w:rsidR="000B3DBE" w:rsidRPr="00FD1F6E" w:rsidRDefault="00944CA2" w:rsidP="0011339E">
      <w:pPr>
        <w:spacing w:after="0" w:line="360" w:lineRule="auto"/>
        <w:jc w:val="both"/>
        <w:rPr>
          <w:rStyle w:val="st"/>
          <w:rFonts w:ascii="Times New Roman" w:hAnsi="Times New Roman" w:cs="Times New Roman"/>
          <w:sz w:val="24"/>
          <w:szCs w:val="24"/>
          <w:lang w:val="en-GB"/>
        </w:rPr>
      </w:pPr>
      <w:r w:rsidRPr="00FD1F6E">
        <w:rPr>
          <w:rStyle w:val="st"/>
          <w:rFonts w:ascii="Times New Roman" w:hAnsi="Times New Roman" w:cs="Times New Roman"/>
          <w:sz w:val="24"/>
          <w:szCs w:val="24"/>
          <w:lang w:val="en-GB"/>
        </w:rPr>
        <w:t>T</w:t>
      </w:r>
      <w:r w:rsidR="008C6361" w:rsidRPr="00FD1F6E">
        <w:rPr>
          <w:rStyle w:val="st"/>
          <w:rFonts w:ascii="Times New Roman" w:hAnsi="Times New Roman" w:cs="Times New Roman"/>
          <w:sz w:val="24"/>
          <w:szCs w:val="24"/>
          <w:lang w:val="en-GB"/>
        </w:rPr>
        <w:t>he case law of other international tribu</w:t>
      </w:r>
      <w:r w:rsidR="007A1EFB" w:rsidRPr="00FD1F6E">
        <w:rPr>
          <w:rStyle w:val="st"/>
          <w:rFonts w:ascii="Times New Roman" w:hAnsi="Times New Roman" w:cs="Times New Roman"/>
          <w:sz w:val="24"/>
          <w:szCs w:val="24"/>
          <w:lang w:val="en-GB"/>
        </w:rPr>
        <w:t>nals and in the state practice regarding crimes committed on board</w:t>
      </w:r>
      <w:r w:rsidR="008C6361" w:rsidRPr="00FD1F6E">
        <w:rPr>
          <w:rStyle w:val="st"/>
          <w:rFonts w:ascii="Times New Roman" w:hAnsi="Times New Roman" w:cs="Times New Roman"/>
          <w:sz w:val="24"/>
          <w:szCs w:val="24"/>
          <w:lang w:val="en-GB"/>
        </w:rPr>
        <w:t xml:space="preserve"> vessels</w:t>
      </w:r>
      <w:r w:rsidRPr="00FD1F6E">
        <w:rPr>
          <w:rStyle w:val="st"/>
          <w:rFonts w:ascii="Times New Roman" w:hAnsi="Times New Roman" w:cs="Times New Roman"/>
          <w:sz w:val="24"/>
          <w:szCs w:val="24"/>
          <w:lang w:val="en-GB"/>
        </w:rPr>
        <w:t xml:space="preserve"> should have been explored by the OTP in search of relevant episodes</w:t>
      </w:r>
      <w:r w:rsidR="007A1EFB" w:rsidRPr="00FD1F6E">
        <w:rPr>
          <w:rStyle w:val="st"/>
          <w:rFonts w:ascii="Times New Roman" w:hAnsi="Times New Roman" w:cs="Times New Roman"/>
          <w:sz w:val="24"/>
          <w:szCs w:val="24"/>
          <w:lang w:val="en-GB"/>
        </w:rPr>
        <w:t xml:space="preserve">. </w:t>
      </w:r>
    </w:p>
    <w:p w:rsidR="00BB1F23" w:rsidRDefault="00BB1F23" w:rsidP="0011339E">
      <w:pPr>
        <w:spacing w:after="0" w:line="360" w:lineRule="auto"/>
        <w:jc w:val="both"/>
        <w:rPr>
          <w:rStyle w:val="st"/>
          <w:rFonts w:ascii="Times New Roman" w:hAnsi="Times New Roman" w:cs="Times New Roman"/>
          <w:sz w:val="24"/>
          <w:szCs w:val="24"/>
          <w:lang w:val="en-GB"/>
        </w:rPr>
      </w:pPr>
    </w:p>
    <w:p w:rsidR="00E666E1" w:rsidRDefault="00944CA2" w:rsidP="0011339E">
      <w:pPr>
        <w:spacing w:after="0" w:line="360" w:lineRule="auto"/>
        <w:jc w:val="both"/>
        <w:rPr>
          <w:rStyle w:val="st"/>
          <w:rFonts w:ascii="Times New Roman" w:hAnsi="Times New Roman" w:cs="Times New Roman"/>
          <w:sz w:val="24"/>
          <w:szCs w:val="24"/>
          <w:lang w:val="en-GB"/>
        </w:rPr>
      </w:pPr>
      <w:r w:rsidRPr="00FD1F6E">
        <w:rPr>
          <w:rStyle w:val="st"/>
          <w:rFonts w:ascii="Times New Roman" w:hAnsi="Times New Roman" w:cs="Times New Roman"/>
          <w:sz w:val="24"/>
          <w:szCs w:val="24"/>
          <w:lang w:val="en-GB"/>
        </w:rPr>
        <w:t xml:space="preserve">The most relevant precedent regards </w:t>
      </w:r>
      <w:r w:rsidR="000B3DBE" w:rsidRPr="00FD1F6E">
        <w:rPr>
          <w:rStyle w:val="st"/>
          <w:rFonts w:ascii="Times New Roman" w:hAnsi="Times New Roman" w:cs="Times New Roman"/>
          <w:sz w:val="24"/>
          <w:szCs w:val="24"/>
          <w:lang w:val="en-GB"/>
        </w:rPr>
        <w:t>t</w:t>
      </w:r>
      <w:r w:rsidR="007A1EFB" w:rsidRPr="00FD1F6E">
        <w:rPr>
          <w:rStyle w:val="st"/>
          <w:rFonts w:ascii="Times New Roman" w:hAnsi="Times New Roman" w:cs="Times New Roman"/>
          <w:sz w:val="24"/>
          <w:szCs w:val="24"/>
          <w:lang w:val="en-GB"/>
        </w:rPr>
        <w:t xml:space="preserve">he case law of the </w:t>
      </w:r>
      <w:r w:rsidR="00E666E1" w:rsidRPr="00FD1F6E">
        <w:rPr>
          <w:rStyle w:val="st"/>
          <w:rFonts w:ascii="Times New Roman" w:hAnsi="Times New Roman" w:cs="Times New Roman"/>
          <w:sz w:val="24"/>
          <w:szCs w:val="24"/>
          <w:lang w:val="en-GB"/>
        </w:rPr>
        <w:t xml:space="preserve">Nuremberg </w:t>
      </w:r>
      <w:r w:rsidR="000B3DBE" w:rsidRPr="00FD1F6E">
        <w:rPr>
          <w:rStyle w:val="st"/>
          <w:rFonts w:ascii="Times New Roman" w:hAnsi="Times New Roman" w:cs="Times New Roman"/>
          <w:sz w:val="24"/>
          <w:szCs w:val="24"/>
          <w:lang w:val="en-GB"/>
        </w:rPr>
        <w:t>International Military Tribunal</w:t>
      </w:r>
      <w:r w:rsidRPr="00FD1F6E">
        <w:rPr>
          <w:rStyle w:val="st"/>
          <w:rFonts w:ascii="Times New Roman" w:hAnsi="Times New Roman" w:cs="Times New Roman"/>
          <w:sz w:val="24"/>
          <w:szCs w:val="24"/>
          <w:lang w:val="en-GB"/>
        </w:rPr>
        <w:t>, which</w:t>
      </w:r>
      <w:r w:rsidR="007A1EFB" w:rsidRPr="00FD1F6E">
        <w:rPr>
          <w:rStyle w:val="st"/>
          <w:rFonts w:ascii="Times New Roman" w:hAnsi="Times New Roman" w:cs="Times New Roman"/>
          <w:sz w:val="24"/>
          <w:szCs w:val="24"/>
          <w:lang w:val="en-GB"/>
        </w:rPr>
        <w:t xml:space="preserve"> dealt with war crimes committed during naval warfare, </w:t>
      </w:r>
      <w:r w:rsidR="000B3DBE" w:rsidRPr="00FD1F6E">
        <w:rPr>
          <w:rStyle w:val="st"/>
          <w:rFonts w:ascii="Times New Roman" w:hAnsi="Times New Roman" w:cs="Times New Roman"/>
          <w:sz w:val="24"/>
          <w:szCs w:val="24"/>
          <w:lang w:val="en-GB"/>
        </w:rPr>
        <w:lastRenderedPageBreak/>
        <w:t>especially regarding unrestricted submarine warfare</w:t>
      </w:r>
      <w:r w:rsidR="008D4C0A" w:rsidRPr="00FD1F6E">
        <w:rPr>
          <w:rStyle w:val="st"/>
          <w:rFonts w:ascii="Times New Roman" w:hAnsi="Times New Roman" w:cs="Times New Roman"/>
          <w:sz w:val="24"/>
          <w:szCs w:val="24"/>
          <w:lang w:val="en-GB"/>
        </w:rPr>
        <w:t>;</w:t>
      </w:r>
      <w:r w:rsidR="008D4C0A" w:rsidRPr="00FD1F6E">
        <w:rPr>
          <w:rStyle w:val="Rimandonotaapidipagina"/>
          <w:rFonts w:ascii="Times New Roman" w:hAnsi="Times New Roman" w:cs="Times New Roman"/>
          <w:sz w:val="24"/>
          <w:szCs w:val="24"/>
          <w:lang w:val="en-GB"/>
        </w:rPr>
        <w:footnoteReference w:id="97"/>
      </w:r>
      <w:r w:rsidR="008D4C0A" w:rsidRPr="00FD1F6E">
        <w:rPr>
          <w:rStyle w:val="st"/>
          <w:rFonts w:ascii="Times New Roman" w:hAnsi="Times New Roman" w:cs="Times New Roman"/>
          <w:sz w:val="24"/>
          <w:szCs w:val="24"/>
          <w:lang w:val="en-GB"/>
        </w:rPr>
        <w:t xml:space="preserve"> similarly, the</w:t>
      </w:r>
      <w:r w:rsidR="00E666E1" w:rsidRPr="00FD1F6E">
        <w:rPr>
          <w:rStyle w:val="st"/>
          <w:rFonts w:ascii="Times New Roman" w:hAnsi="Times New Roman" w:cs="Times New Roman"/>
          <w:sz w:val="24"/>
          <w:szCs w:val="24"/>
          <w:lang w:val="en-GB"/>
        </w:rPr>
        <w:t xml:space="preserve"> Tokyo</w:t>
      </w:r>
      <w:r w:rsidR="008D4C0A" w:rsidRPr="00FD1F6E">
        <w:rPr>
          <w:rStyle w:val="st"/>
          <w:rFonts w:ascii="Times New Roman" w:hAnsi="Times New Roman" w:cs="Times New Roman"/>
          <w:sz w:val="24"/>
          <w:szCs w:val="24"/>
          <w:lang w:val="en-GB"/>
        </w:rPr>
        <w:t xml:space="preserve"> International Military Tribunal passed</w:t>
      </w:r>
      <w:r w:rsidR="00FD1F6E">
        <w:rPr>
          <w:rStyle w:val="st"/>
          <w:rFonts w:ascii="Times New Roman" w:hAnsi="Times New Roman" w:cs="Times New Roman"/>
          <w:sz w:val="24"/>
          <w:szCs w:val="24"/>
          <w:lang w:val="en-GB"/>
        </w:rPr>
        <w:t xml:space="preserve"> a</w:t>
      </w:r>
      <w:r w:rsidR="008D4C0A" w:rsidRPr="00FD1F6E">
        <w:rPr>
          <w:rStyle w:val="st"/>
          <w:rFonts w:ascii="Times New Roman" w:hAnsi="Times New Roman" w:cs="Times New Roman"/>
          <w:sz w:val="24"/>
          <w:szCs w:val="24"/>
          <w:lang w:val="en-GB"/>
        </w:rPr>
        <w:t xml:space="preserve"> judgment regarding unrestricted submarine warfare</w:t>
      </w:r>
      <w:r w:rsidR="00E666E1" w:rsidRPr="00FD1F6E">
        <w:rPr>
          <w:rStyle w:val="st"/>
          <w:rFonts w:ascii="Times New Roman" w:hAnsi="Times New Roman" w:cs="Times New Roman"/>
          <w:sz w:val="24"/>
          <w:szCs w:val="24"/>
          <w:lang w:val="en-GB"/>
        </w:rPr>
        <w:t xml:space="preserve"> and attacks against prison ships</w:t>
      </w:r>
      <w:r w:rsidR="008D4C0A" w:rsidRPr="00FD1F6E">
        <w:rPr>
          <w:rStyle w:val="st"/>
          <w:rFonts w:ascii="Times New Roman" w:hAnsi="Times New Roman" w:cs="Times New Roman"/>
          <w:sz w:val="24"/>
          <w:szCs w:val="24"/>
          <w:lang w:val="en-GB"/>
        </w:rPr>
        <w:t>.</w:t>
      </w:r>
      <w:r w:rsidR="008D4C0A" w:rsidRPr="00FD1F6E">
        <w:rPr>
          <w:rStyle w:val="Rimandonotaapidipagina"/>
          <w:rFonts w:ascii="Times New Roman" w:hAnsi="Times New Roman" w:cs="Times New Roman"/>
          <w:sz w:val="24"/>
          <w:szCs w:val="24"/>
          <w:lang w:val="en-GB"/>
        </w:rPr>
        <w:footnoteReference w:id="98"/>
      </w:r>
      <w:r w:rsidR="000B3DBE" w:rsidRPr="00FD1F6E">
        <w:rPr>
          <w:rStyle w:val="st"/>
          <w:rFonts w:ascii="Times New Roman" w:hAnsi="Times New Roman" w:cs="Times New Roman"/>
          <w:sz w:val="24"/>
          <w:szCs w:val="24"/>
          <w:lang w:val="en-GB"/>
        </w:rPr>
        <w:t xml:space="preserve"> </w:t>
      </w:r>
      <w:r w:rsidRPr="00FD1F6E">
        <w:rPr>
          <w:rStyle w:val="st"/>
          <w:rFonts w:ascii="Times New Roman" w:hAnsi="Times New Roman" w:cs="Times New Roman"/>
          <w:sz w:val="24"/>
          <w:szCs w:val="24"/>
          <w:lang w:val="en-GB"/>
        </w:rPr>
        <w:t>T</w:t>
      </w:r>
      <w:r w:rsidR="000B3DBE" w:rsidRPr="00FD1F6E">
        <w:rPr>
          <w:rStyle w:val="st"/>
          <w:rFonts w:ascii="Times New Roman" w:hAnsi="Times New Roman" w:cs="Times New Roman"/>
          <w:sz w:val="24"/>
          <w:szCs w:val="24"/>
          <w:lang w:val="en-GB"/>
        </w:rPr>
        <w:t xml:space="preserve">he crimes analysed by the </w:t>
      </w:r>
      <w:r w:rsidR="00E666E1" w:rsidRPr="00FD1F6E">
        <w:rPr>
          <w:rStyle w:val="st"/>
          <w:rFonts w:ascii="Times New Roman" w:hAnsi="Times New Roman" w:cs="Times New Roman"/>
          <w:sz w:val="24"/>
          <w:szCs w:val="24"/>
          <w:lang w:val="en-GB"/>
        </w:rPr>
        <w:t xml:space="preserve">two </w:t>
      </w:r>
      <w:r w:rsidR="00FD1F6E">
        <w:rPr>
          <w:rStyle w:val="st"/>
          <w:rFonts w:ascii="Times New Roman" w:hAnsi="Times New Roman" w:cs="Times New Roman"/>
          <w:sz w:val="24"/>
          <w:szCs w:val="24"/>
          <w:lang w:val="en-GB"/>
        </w:rPr>
        <w:t xml:space="preserve">International </w:t>
      </w:r>
      <w:r w:rsidR="00E666E1" w:rsidRPr="00FD1F6E">
        <w:rPr>
          <w:rStyle w:val="st"/>
          <w:rFonts w:ascii="Times New Roman" w:hAnsi="Times New Roman" w:cs="Times New Roman"/>
          <w:sz w:val="24"/>
          <w:szCs w:val="24"/>
          <w:lang w:val="en-GB"/>
        </w:rPr>
        <w:t>Military Tribunals</w:t>
      </w:r>
      <w:r w:rsidR="000B3DBE" w:rsidRPr="00FD1F6E">
        <w:rPr>
          <w:rStyle w:val="st"/>
          <w:rFonts w:ascii="Times New Roman" w:hAnsi="Times New Roman" w:cs="Times New Roman"/>
          <w:sz w:val="24"/>
          <w:szCs w:val="24"/>
          <w:lang w:val="en-GB"/>
        </w:rPr>
        <w:t xml:space="preserve"> are clearly different from those that allegedly </w:t>
      </w:r>
      <w:r w:rsidR="006E0F65">
        <w:rPr>
          <w:rStyle w:val="st"/>
          <w:rFonts w:ascii="Times New Roman" w:hAnsi="Times New Roman" w:cs="Times New Roman"/>
          <w:sz w:val="24"/>
          <w:szCs w:val="24"/>
          <w:lang w:val="en-GB"/>
        </w:rPr>
        <w:t>occurred</w:t>
      </w:r>
      <w:r w:rsidR="000B3DBE" w:rsidRPr="00FD1F6E">
        <w:rPr>
          <w:rStyle w:val="st"/>
          <w:rFonts w:ascii="Times New Roman" w:hAnsi="Times New Roman" w:cs="Times New Roman"/>
          <w:sz w:val="24"/>
          <w:szCs w:val="24"/>
          <w:lang w:val="en-GB"/>
        </w:rPr>
        <w:t xml:space="preserve"> on board the </w:t>
      </w:r>
      <w:r w:rsidR="000B3DBE" w:rsidRPr="00FD1F6E">
        <w:rPr>
          <w:rStyle w:val="st"/>
          <w:rFonts w:ascii="Times New Roman" w:hAnsi="Times New Roman" w:cs="Times New Roman"/>
          <w:i/>
          <w:sz w:val="24"/>
          <w:szCs w:val="24"/>
          <w:lang w:val="en-GB"/>
        </w:rPr>
        <w:t>Mavi Marmara</w:t>
      </w:r>
      <w:r w:rsidR="002034C5" w:rsidRPr="00FD1F6E">
        <w:rPr>
          <w:rStyle w:val="st"/>
          <w:rFonts w:ascii="Times New Roman" w:hAnsi="Times New Roman" w:cs="Times New Roman"/>
          <w:sz w:val="24"/>
          <w:szCs w:val="24"/>
          <w:lang w:val="en-GB"/>
        </w:rPr>
        <w:t>, but a reference to th</w:t>
      </w:r>
      <w:r w:rsidR="00FD1F6E">
        <w:rPr>
          <w:rStyle w:val="st"/>
          <w:rFonts w:ascii="Times New Roman" w:hAnsi="Times New Roman" w:cs="Times New Roman"/>
          <w:sz w:val="24"/>
          <w:szCs w:val="24"/>
          <w:lang w:val="en-GB"/>
        </w:rPr>
        <w:t>eir case law</w:t>
      </w:r>
      <w:r w:rsidR="002034C5" w:rsidRPr="00FD1F6E">
        <w:rPr>
          <w:rStyle w:val="st"/>
          <w:rFonts w:ascii="Times New Roman" w:hAnsi="Times New Roman" w:cs="Times New Roman"/>
          <w:sz w:val="24"/>
          <w:szCs w:val="24"/>
          <w:lang w:val="en-GB"/>
        </w:rPr>
        <w:t xml:space="preserve"> could have strengthen</w:t>
      </w:r>
      <w:r w:rsidR="006E0F65">
        <w:rPr>
          <w:rStyle w:val="st"/>
          <w:rFonts w:ascii="Times New Roman" w:hAnsi="Times New Roman" w:cs="Times New Roman"/>
          <w:sz w:val="24"/>
          <w:szCs w:val="24"/>
          <w:lang w:val="en-GB"/>
        </w:rPr>
        <w:t>ed</w:t>
      </w:r>
      <w:r w:rsidR="002034C5" w:rsidRPr="00FD1F6E">
        <w:rPr>
          <w:rStyle w:val="st"/>
          <w:rFonts w:ascii="Times New Roman" w:hAnsi="Times New Roman" w:cs="Times New Roman"/>
          <w:sz w:val="24"/>
          <w:szCs w:val="24"/>
          <w:lang w:val="en-GB"/>
        </w:rPr>
        <w:t xml:space="preserve"> the OTP’s opinion regarding the lack of gravity in the boarding of the </w:t>
      </w:r>
      <w:r w:rsidR="002034C5" w:rsidRPr="00FD1F6E">
        <w:rPr>
          <w:rStyle w:val="st"/>
          <w:rFonts w:ascii="Times New Roman" w:hAnsi="Times New Roman" w:cs="Times New Roman"/>
          <w:i/>
          <w:sz w:val="24"/>
          <w:szCs w:val="24"/>
          <w:lang w:val="en-GB"/>
        </w:rPr>
        <w:t>Mavi Marmara</w:t>
      </w:r>
      <w:r w:rsidR="002034C5" w:rsidRPr="00FD1F6E">
        <w:rPr>
          <w:rStyle w:val="st"/>
          <w:rFonts w:ascii="Times New Roman" w:hAnsi="Times New Roman" w:cs="Times New Roman"/>
          <w:sz w:val="24"/>
          <w:szCs w:val="24"/>
          <w:lang w:val="en-GB"/>
        </w:rPr>
        <w:t xml:space="preserve">. </w:t>
      </w:r>
    </w:p>
    <w:p w:rsidR="00A629E3" w:rsidRPr="00FD1F6E" w:rsidRDefault="00A629E3" w:rsidP="0011339E">
      <w:pPr>
        <w:spacing w:after="0" w:line="360" w:lineRule="auto"/>
        <w:jc w:val="both"/>
        <w:rPr>
          <w:rStyle w:val="st"/>
          <w:rFonts w:ascii="Times New Roman" w:hAnsi="Times New Roman" w:cs="Times New Roman"/>
          <w:sz w:val="24"/>
          <w:szCs w:val="24"/>
          <w:lang w:val="en-GB"/>
        </w:rPr>
      </w:pPr>
    </w:p>
    <w:p w:rsidR="00A20F82" w:rsidRDefault="000B3DBE" w:rsidP="0011339E">
      <w:pPr>
        <w:spacing w:after="0" w:line="360" w:lineRule="auto"/>
        <w:jc w:val="both"/>
        <w:rPr>
          <w:rStyle w:val="st"/>
          <w:rFonts w:ascii="Times New Roman" w:hAnsi="Times New Roman" w:cs="Times New Roman"/>
          <w:sz w:val="24"/>
          <w:szCs w:val="24"/>
          <w:lang w:val="en-GB"/>
        </w:rPr>
      </w:pPr>
      <w:r w:rsidRPr="00FD1F6E">
        <w:rPr>
          <w:rStyle w:val="st"/>
          <w:rFonts w:ascii="Times New Roman" w:hAnsi="Times New Roman" w:cs="Times New Roman"/>
          <w:sz w:val="24"/>
          <w:szCs w:val="24"/>
          <w:lang w:val="en-GB"/>
        </w:rPr>
        <w:t xml:space="preserve">By contrast, the UN </w:t>
      </w:r>
      <w:r w:rsidR="00C81D41">
        <w:rPr>
          <w:rStyle w:val="st"/>
          <w:rFonts w:ascii="Times New Roman" w:hAnsi="Times New Roman" w:cs="Times New Roman"/>
          <w:i/>
          <w:sz w:val="24"/>
          <w:szCs w:val="24"/>
          <w:lang w:val="en-GB"/>
        </w:rPr>
        <w:t>ad h</w:t>
      </w:r>
      <w:r w:rsidRPr="00FD1F6E">
        <w:rPr>
          <w:rStyle w:val="st"/>
          <w:rFonts w:ascii="Times New Roman" w:hAnsi="Times New Roman" w:cs="Times New Roman"/>
          <w:i/>
          <w:sz w:val="24"/>
          <w:szCs w:val="24"/>
          <w:lang w:val="en-GB"/>
        </w:rPr>
        <w:t>oc</w:t>
      </w:r>
      <w:r w:rsidR="00C81D41">
        <w:rPr>
          <w:rStyle w:val="st"/>
          <w:rFonts w:ascii="Times New Roman" w:hAnsi="Times New Roman" w:cs="Times New Roman"/>
          <w:sz w:val="24"/>
          <w:szCs w:val="24"/>
          <w:lang w:val="en-GB"/>
        </w:rPr>
        <w:t xml:space="preserve"> t</w:t>
      </w:r>
      <w:r w:rsidRPr="00FD1F6E">
        <w:rPr>
          <w:rStyle w:val="st"/>
          <w:rFonts w:ascii="Times New Roman" w:hAnsi="Times New Roman" w:cs="Times New Roman"/>
          <w:sz w:val="24"/>
          <w:szCs w:val="24"/>
          <w:lang w:val="en-GB"/>
        </w:rPr>
        <w:t>ribunals had no occasion to judge crimes committed on board vessels, even if their statutes provided them with jurisdiction for crimes occurred in the</w:t>
      </w:r>
      <w:r w:rsidR="00613329" w:rsidRPr="00FD1F6E">
        <w:rPr>
          <w:rStyle w:val="st"/>
          <w:rFonts w:ascii="Times New Roman" w:hAnsi="Times New Roman" w:cs="Times New Roman"/>
          <w:sz w:val="24"/>
          <w:szCs w:val="24"/>
          <w:lang w:val="en-GB"/>
        </w:rPr>
        <w:t xml:space="preserve"> airspace and</w:t>
      </w:r>
      <w:r w:rsidRPr="00FD1F6E">
        <w:rPr>
          <w:rStyle w:val="st"/>
          <w:rFonts w:ascii="Times New Roman" w:hAnsi="Times New Roman" w:cs="Times New Roman"/>
          <w:sz w:val="24"/>
          <w:szCs w:val="24"/>
          <w:lang w:val="en-GB"/>
        </w:rPr>
        <w:t xml:space="preserve"> territorial</w:t>
      </w:r>
      <w:r w:rsidR="00613329" w:rsidRPr="00FD1F6E">
        <w:rPr>
          <w:rStyle w:val="st"/>
          <w:rFonts w:ascii="Times New Roman" w:hAnsi="Times New Roman" w:cs="Times New Roman"/>
          <w:sz w:val="24"/>
          <w:szCs w:val="24"/>
          <w:lang w:val="en-GB"/>
        </w:rPr>
        <w:t xml:space="preserve"> waters of Rwanda and Former Yugoslavia.</w:t>
      </w:r>
      <w:r w:rsidR="00613329" w:rsidRPr="00FD1F6E">
        <w:rPr>
          <w:rStyle w:val="Rimandonotaapidipagina"/>
          <w:rFonts w:ascii="Times New Roman" w:hAnsi="Times New Roman" w:cs="Times New Roman"/>
          <w:sz w:val="24"/>
          <w:szCs w:val="24"/>
          <w:lang w:val="en-GB"/>
        </w:rPr>
        <w:footnoteReference w:id="99"/>
      </w:r>
      <w:r w:rsidRPr="00FD1F6E">
        <w:rPr>
          <w:rStyle w:val="st"/>
          <w:rFonts w:ascii="Times New Roman" w:hAnsi="Times New Roman" w:cs="Times New Roman"/>
          <w:sz w:val="24"/>
          <w:szCs w:val="24"/>
          <w:lang w:val="en-GB"/>
        </w:rPr>
        <w:t xml:space="preserve"> </w:t>
      </w:r>
      <w:r w:rsidR="00944CA2" w:rsidRPr="00FD1F6E">
        <w:rPr>
          <w:rStyle w:val="st"/>
          <w:rFonts w:ascii="Times New Roman" w:hAnsi="Times New Roman" w:cs="Times New Roman"/>
          <w:sz w:val="24"/>
          <w:szCs w:val="24"/>
          <w:lang w:val="en-GB"/>
        </w:rPr>
        <w:t>Similarly</w:t>
      </w:r>
      <w:r w:rsidR="00A20F82" w:rsidRPr="00FD1F6E">
        <w:rPr>
          <w:rStyle w:val="st"/>
          <w:rFonts w:ascii="Times New Roman" w:hAnsi="Times New Roman" w:cs="Times New Roman"/>
          <w:sz w:val="24"/>
          <w:szCs w:val="24"/>
          <w:lang w:val="en-GB"/>
        </w:rPr>
        <w:t xml:space="preserve">, there is no specific state practice regarding crimes committed </w:t>
      </w:r>
      <w:r w:rsidR="002034C5" w:rsidRPr="00FD1F6E">
        <w:rPr>
          <w:rStyle w:val="st"/>
          <w:rFonts w:ascii="Times New Roman" w:hAnsi="Times New Roman" w:cs="Times New Roman"/>
          <w:sz w:val="24"/>
          <w:szCs w:val="24"/>
          <w:lang w:val="en-GB"/>
        </w:rPr>
        <w:t xml:space="preserve">by states </w:t>
      </w:r>
      <w:r w:rsidR="00A20F82" w:rsidRPr="00FD1F6E">
        <w:rPr>
          <w:rStyle w:val="st"/>
          <w:rFonts w:ascii="Times New Roman" w:hAnsi="Times New Roman" w:cs="Times New Roman"/>
          <w:sz w:val="24"/>
          <w:szCs w:val="24"/>
          <w:lang w:val="en-GB"/>
        </w:rPr>
        <w:t>in the</w:t>
      </w:r>
      <w:r w:rsidR="002034C5" w:rsidRPr="00FD1F6E">
        <w:rPr>
          <w:rStyle w:val="st"/>
          <w:rFonts w:ascii="Times New Roman" w:hAnsi="Times New Roman" w:cs="Times New Roman"/>
          <w:sz w:val="24"/>
          <w:szCs w:val="24"/>
          <w:lang w:val="en-GB"/>
        </w:rPr>
        <w:t>ir</w:t>
      </w:r>
      <w:r w:rsidR="00A20F82" w:rsidRPr="00FD1F6E">
        <w:rPr>
          <w:rStyle w:val="st"/>
          <w:rFonts w:ascii="Times New Roman" w:hAnsi="Times New Roman" w:cs="Times New Roman"/>
          <w:sz w:val="24"/>
          <w:szCs w:val="24"/>
          <w:lang w:val="en-GB"/>
        </w:rPr>
        <w:t xml:space="preserve"> effort</w:t>
      </w:r>
      <w:r w:rsidR="002034C5" w:rsidRPr="00FD1F6E">
        <w:rPr>
          <w:rStyle w:val="st"/>
          <w:rFonts w:ascii="Times New Roman" w:hAnsi="Times New Roman" w:cs="Times New Roman"/>
          <w:sz w:val="24"/>
          <w:szCs w:val="24"/>
          <w:lang w:val="en-GB"/>
        </w:rPr>
        <w:t>s</w:t>
      </w:r>
      <w:r w:rsidR="00A20F82" w:rsidRPr="00FD1F6E">
        <w:rPr>
          <w:rStyle w:val="st"/>
          <w:rFonts w:ascii="Times New Roman" w:hAnsi="Times New Roman" w:cs="Times New Roman"/>
          <w:sz w:val="24"/>
          <w:szCs w:val="24"/>
          <w:lang w:val="en-GB"/>
        </w:rPr>
        <w:t xml:space="preserve"> to enforce a blockade</w:t>
      </w:r>
      <w:r w:rsidR="00141455" w:rsidRPr="00FD1F6E">
        <w:rPr>
          <w:rStyle w:val="st"/>
          <w:rFonts w:ascii="Times New Roman" w:hAnsi="Times New Roman" w:cs="Times New Roman"/>
          <w:sz w:val="24"/>
          <w:szCs w:val="24"/>
          <w:lang w:val="en-GB"/>
        </w:rPr>
        <w:t>.</w:t>
      </w:r>
      <w:r w:rsidR="00141455" w:rsidRPr="00FD1F6E">
        <w:rPr>
          <w:rStyle w:val="Rimandonotaapidipagina"/>
          <w:rFonts w:ascii="Times New Roman" w:hAnsi="Times New Roman" w:cs="Times New Roman"/>
          <w:sz w:val="24"/>
          <w:szCs w:val="24"/>
          <w:lang w:val="en-GB"/>
        </w:rPr>
        <w:footnoteReference w:id="100"/>
      </w:r>
      <w:r w:rsidR="00A20F82" w:rsidRPr="00FD1F6E">
        <w:rPr>
          <w:rStyle w:val="st"/>
          <w:rFonts w:ascii="Times New Roman" w:hAnsi="Times New Roman" w:cs="Times New Roman"/>
          <w:sz w:val="24"/>
          <w:szCs w:val="24"/>
          <w:lang w:val="en-GB"/>
        </w:rPr>
        <w:t xml:space="preserve"> </w:t>
      </w:r>
    </w:p>
    <w:p w:rsidR="00A629E3" w:rsidRPr="00FD1F6E" w:rsidRDefault="00A629E3" w:rsidP="0011339E">
      <w:pPr>
        <w:spacing w:after="0" w:line="360" w:lineRule="auto"/>
        <w:jc w:val="both"/>
        <w:rPr>
          <w:rStyle w:val="st"/>
          <w:rFonts w:ascii="Times New Roman" w:hAnsi="Times New Roman" w:cs="Times New Roman"/>
          <w:sz w:val="24"/>
          <w:szCs w:val="24"/>
          <w:lang w:val="en-GB"/>
        </w:rPr>
      </w:pPr>
    </w:p>
    <w:p w:rsidR="001E7C83" w:rsidRDefault="00C23414" w:rsidP="001E7C83">
      <w:pPr>
        <w:spacing w:after="0" w:line="360" w:lineRule="auto"/>
        <w:jc w:val="both"/>
        <w:rPr>
          <w:rFonts w:ascii="Times New Roman" w:hAnsi="Times New Roman" w:cs="Times New Roman"/>
          <w:bCs/>
          <w:sz w:val="24"/>
          <w:szCs w:val="24"/>
          <w:lang w:val="en-US"/>
        </w:rPr>
      </w:pPr>
      <w:r w:rsidRPr="00FD1F6E">
        <w:rPr>
          <w:rStyle w:val="st"/>
          <w:rFonts w:ascii="Times New Roman" w:hAnsi="Times New Roman" w:cs="Times New Roman"/>
          <w:sz w:val="24"/>
          <w:szCs w:val="24"/>
          <w:lang w:val="en-GB"/>
        </w:rPr>
        <w:t>In addition, it could</w:t>
      </w:r>
      <w:r w:rsidR="00944CA2" w:rsidRPr="00FD1F6E">
        <w:rPr>
          <w:rStyle w:val="st"/>
          <w:rFonts w:ascii="Times New Roman" w:hAnsi="Times New Roman" w:cs="Times New Roman"/>
          <w:sz w:val="24"/>
          <w:szCs w:val="24"/>
          <w:lang w:val="en-GB"/>
        </w:rPr>
        <w:t xml:space="preserve"> have</w:t>
      </w:r>
      <w:r w:rsidRPr="00FD1F6E">
        <w:rPr>
          <w:rStyle w:val="st"/>
          <w:rFonts w:ascii="Times New Roman" w:hAnsi="Times New Roman" w:cs="Times New Roman"/>
          <w:sz w:val="24"/>
          <w:szCs w:val="24"/>
          <w:lang w:val="en-GB"/>
        </w:rPr>
        <w:t xml:space="preserve"> be</w:t>
      </w:r>
      <w:r w:rsidR="00944CA2" w:rsidRPr="00FD1F6E">
        <w:rPr>
          <w:rStyle w:val="st"/>
          <w:rFonts w:ascii="Times New Roman" w:hAnsi="Times New Roman" w:cs="Times New Roman"/>
          <w:sz w:val="24"/>
          <w:szCs w:val="24"/>
          <w:lang w:val="en-GB"/>
        </w:rPr>
        <w:t>en</w:t>
      </w:r>
      <w:r w:rsidRPr="00FD1F6E">
        <w:rPr>
          <w:rStyle w:val="st"/>
          <w:rFonts w:ascii="Times New Roman" w:hAnsi="Times New Roman" w:cs="Times New Roman"/>
          <w:sz w:val="24"/>
          <w:szCs w:val="24"/>
          <w:lang w:val="en-GB"/>
        </w:rPr>
        <w:t xml:space="preserve"> useful to explore </w:t>
      </w:r>
      <w:r w:rsidR="00141455" w:rsidRPr="00FD1F6E">
        <w:rPr>
          <w:rStyle w:val="st"/>
          <w:rFonts w:ascii="Times New Roman" w:hAnsi="Times New Roman" w:cs="Times New Roman"/>
          <w:sz w:val="24"/>
          <w:szCs w:val="24"/>
          <w:lang w:val="en-GB"/>
        </w:rPr>
        <w:t xml:space="preserve">the case law of international tribunals not directly dealing with international humanitarian law issues. For instance, </w:t>
      </w:r>
      <w:r w:rsidR="008C6361" w:rsidRPr="00FD1F6E">
        <w:rPr>
          <w:rStyle w:val="st"/>
          <w:rFonts w:ascii="Times New Roman" w:hAnsi="Times New Roman" w:cs="Times New Roman"/>
          <w:sz w:val="24"/>
          <w:szCs w:val="24"/>
          <w:lang w:val="en-GB"/>
        </w:rPr>
        <w:t>the European Court of Human Rights</w:t>
      </w:r>
      <w:r w:rsidR="00141455" w:rsidRPr="00FD1F6E">
        <w:rPr>
          <w:rStyle w:val="st"/>
          <w:rFonts w:ascii="Times New Roman" w:hAnsi="Times New Roman" w:cs="Times New Roman"/>
          <w:sz w:val="24"/>
          <w:szCs w:val="24"/>
          <w:lang w:val="en-GB"/>
        </w:rPr>
        <w:t xml:space="preserve"> </w:t>
      </w:r>
      <w:r w:rsidRPr="00FD1F6E">
        <w:rPr>
          <w:rStyle w:val="st"/>
          <w:rFonts w:ascii="Times New Roman" w:hAnsi="Times New Roman" w:cs="Times New Roman"/>
          <w:sz w:val="24"/>
          <w:szCs w:val="24"/>
          <w:lang w:val="en-GB"/>
        </w:rPr>
        <w:t xml:space="preserve">in the </w:t>
      </w:r>
      <w:r w:rsidR="00343615" w:rsidRPr="00FD1F6E">
        <w:rPr>
          <w:rStyle w:val="st"/>
          <w:rFonts w:ascii="Times New Roman" w:hAnsi="Times New Roman" w:cs="Times New Roman"/>
          <w:sz w:val="24"/>
          <w:szCs w:val="24"/>
          <w:lang w:val="en-GB"/>
        </w:rPr>
        <w:t>case</w:t>
      </w:r>
      <w:r w:rsidR="00343615" w:rsidRPr="00FD1F6E">
        <w:rPr>
          <w:rFonts w:ascii="Times New Roman" w:hAnsi="Times New Roman" w:cs="Times New Roman"/>
          <w:sz w:val="24"/>
          <w:szCs w:val="24"/>
          <w:lang w:val="en-US"/>
        </w:rPr>
        <w:t xml:space="preserve"> </w:t>
      </w:r>
      <w:r w:rsidR="00343615" w:rsidRPr="00FD1F6E">
        <w:rPr>
          <w:rFonts w:ascii="Times New Roman" w:hAnsi="Times New Roman" w:cs="Times New Roman"/>
          <w:bCs/>
          <w:i/>
          <w:sz w:val="24"/>
          <w:szCs w:val="24"/>
          <w:lang w:val="en-US"/>
        </w:rPr>
        <w:t>Medvedyev and Others v</w:t>
      </w:r>
      <w:r w:rsidR="00046CA9" w:rsidRPr="00FD1F6E">
        <w:rPr>
          <w:rFonts w:ascii="Times New Roman" w:hAnsi="Times New Roman" w:cs="Times New Roman"/>
          <w:bCs/>
          <w:i/>
          <w:sz w:val="24"/>
          <w:szCs w:val="24"/>
          <w:lang w:val="en-US"/>
        </w:rPr>
        <w:t>.</w:t>
      </w:r>
      <w:r w:rsidR="00343615" w:rsidRPr="00FD1F6E">
        <w:rPr>
          <w:rFonts w:ascii="Times New Roman" w:hAnsi="Times New Roman" w:cs="Times New Roman"/>
          <w:bCs/>
          <w:i/>
          <w:sz w:val="24"/>
          <w:szCs w:val="24"/>
          <w:lang w:val="en-US"/>
        </w:rPr>
        <w:t xml:space="preserve"> France</w:t>
      </w:r>
      <w:r w:rsidR="00343615" w:rsidRPr="00FD1F6E">
        <w:rPr>
          <w:rFonts w:ascii="Times New Roman" w:hAnsi="Times New Roman" w:cs="Times New Roman"/>
          <w:bCs/>
          <w:sz w:val="24"/>
          <w:szCs w:val="24"/>
          <w:lang w:val="en-US"/>
        </w:rPr>
        <w:t xml:space="preserve"> passed a judgment on the legality of acts committed after the interception and boarding of a vessel</w:t>
      </w:r>
      <w:r w:rsidR="00944CA2" w:rsidRPr="00FD1F6E">
        <w:rPr>
          <w:rFonts w:ascii="Times New Roman" w:hAnsi="Times New Roman" w:cs="Times New Roman"/>
          <w:bCs/>
          <w:sz w:val="24"/>
          <w:szCs w:val="24"/>
          <w:lang w:val="en-US"/>
        </w:rPr>
        <w:t>.</w:t>
      </w:r>
      <w:r w:rsidR="00343615" w:rsidRPr="00FD1F6E">
        <w:rPr>
          <w:rStyle w:val="Rimandonotaapidipagina"/>
          <w:rFonts w:ascii="Times New Roman" w:hAnsi="Times New Roman" w:cs="Times New Roman"/>
          <w:bCs/>
          <w:sz w:val="24"/>
          <w:szCs w:val="24"/>
          <w:lang w:val="en-US"/>
        </w:rPr>
        <w:footnoteReference w:id="101"/>
      </w:r>
      <w:r w:rsidR="00944CA2" w:rsidRPr="00FD1F6E">
        <w:rPr>
          <w:rFonts w:ascii="Times New Roman" w:hAnsi="Times New Roman" w:cs="Times New Roman"/>
          <w:bCs/>
          <w:sz w:val="24"/>
          <w:szCs w:val="24"/>
          <w:lang w:val="en-US"/>
        </w:rPr>
        <w:t xml:space="preserve"> However, this</w:t>
      </w:r>
      <w:r w:rsidR="00343615" w:rsidRPr="00FD1F6E">
        <w:rPr>
          <w:rFonts w:ascii="Times New Roman" w:hAnsi="Times New Roman" w:cs="Times New Roman"/>
          <w:bCs/>
          <w:sz w:val="24"/>
          <w:szCs w:val="24"/>
          <w:lang w:val="en-US"/>
        </w:rPr>
        <w:t xml:space="preserve"> case regarded the </w:t>
      </w:r>
      <w:r w:rsidR="006E0F65">
        <w:rPr>
          <w:rFonts w:ascii="Times New Roman" w:hAnsi="Times New Roman" w:cs="Times New Roman"/>
          <w:bCs/>
          <w:sz w:val="24"/>
          <w:szCs w:val="24"/>
          <w:lang w:val="en-US"/>
        </w:rPr>
        <w:t>arbitrar</w:t>
      </w:r>
      <w:r w:rsidR="00AD1C4E" w:rsidRPr="00FD1F6E">
        <w:rPr>
          <w:rFonts w:ascii="Times New Roman" w:hAnsi="Times New Roman" w:cs="Times New Roman"/>
          <w:bCs/>
          <w:sz w:val="24"/>
          <w:szCs w:val="24"/>
          <w:lang w:val="en-US"/>
        </w:rPr>
        <w:t xml:space="preserve">y deprivation of some passengers’ liberty, a scenario that does not provide any significant clue on the gravity of the acts allegedly committed on board the </w:t>
      </w:r>
      <w:r w:rsidR="00AD1C4E" w:rsidRPr="00FD1F6E">
        <w:rPr>
          <w:rFonts w:ascii="Times New Roman" w:hAnsi="Times New Roman" w:cs="Times New Roman"/>
          <w:bCs/>
          <w:i/>
          <w:sz w:val="24"/>
          <w:szCs w:val="24"/>
          <w:lang w:val="en-US"/>
        </w:rPr>
        <w:t>Mavi Marmara</w:t>
      </w:r>
      <w:r w:rsidR="00AD1C4E" w:rsidRPr="00FD1F6E">
        <w:rPr>
          <w:rFonts w:ascii="Times New Roman" w:hAnsi="Times New Roman" w:cs="Times New Roman"/>
          <w:bCs/>
          <w:sz w:val="24"/>
          <w:szCs w:val="24"/>
          <w:lang w:val="en-US"/>
        </w:rPr>
        <w:t>.</w:t>
      </w:r>
      <w:r w:rsidR="002034C5" w:rsidRPr="00FD1F6E">
        <w:rPr>
          <w:rFonts w:ascii="Times New Roman" w:hAnsi="Times New Roman" w:cs="Times New Roman"/>
          <w:bCs/>
          <w:sz w:val="24"/>
          <w:szCs w:val="24"/>
          <w:lang w:val="en-US"/>
        </w:rPr>
        <w:t xml:space="preserve"> </w:t>
      </w:r>
    </w:p>
    <w:p w:rsidR="00A629E3" w:rsidRPr="00FD1F6E" w:rsidRDefault="00A629E3" w:rsidP="001E7C83">
      <w:pPr>
        <w:spacing w:after="0" w:line="360" w:lineRule="auto"/>
        <w:jc w:val="both"/>
        <w:rPr>
          <w:rFonts w:ascii="Times New Roman" w:hAnsi="Times New Roman" w:cs="Times New Roman"/>
          <w:bCs/>
          <w:sz w:val="24"/>
          <w:szCs w:val="24"/>
          <w:lang w:val="en-US"/>
        </w:rPr>
      </w:pPr>
    </w:p>
    <w:p w:rsidR="002034C5" w:rsidRPr="00FD1F6E" w:rsidRDefault="00944CA2" w:rsidP="001E7C83">
      <w:pPr>
        <w:spacing w:after="0" w:line="360" w:lineRule="auto"/>
        <w:jc w:val="both"/>
        <w:rPr>
          <w:rFonts w:ascii="Times New Roman" w:hAnsi="Times New Roman" w:cs="Times New Roman"/>
          <w:bCs/>
          <w:sz w:val="24"/>
          <w:szCs w:val="24"/>
          <w:lang w:val="en-US"/>
        </w:rPr>
      </w:pPr>
      <w:r w:rsidRPr="00FD1F6E">
        <w:rPr>
          <w:rFonts w:ascii="Times New Roman" w:hAnsi="Times New Roman" w:cs="Times New Roman"/>
          <w:bCs/>
          <w:sz w:val="24"/>
          <w:szCs w:val="24"/>
          <w:lang w:val="en-US"/>
        </w:rPr>
        <w:t xml:space="preserve">Similarly, the International Tribunal for the Law of the Sea dealt with interception and boarding of vessels only in relation to state responsibility under the UN Convention on </w:t>
      </w:r>
      <w:r w:rsidRPr="00FD1F6E">
        <w:rPr>
          <w:rFonts w:ascii="Times New Roman" w:hAnsi="Times New Roman" w:cs="Times New Roman"/>
          <w:bCs/>
          <w:sz w:val="24"/>
          <w:szCs w:val="24"/>
          <w:lang w:val="en-US"/>
        </w:rPr>
        <w:lastRenderedPageBreak/>
        <w:t>the Law of the Sea</w:t>
      </w:r>
      <w:r w:rsidR="006E0F65">
        <w:rPr>
          <w:rFonts w:ascii="Times New Roman" w:hAnsi="Times New Roman" w:cs="Times New Roman"/>
          <w:bCs/>
          <w:sz w:val="24"/>
          <w:szCs w:val="24"/>
          <w:lang w:val="en-US"/>
        </w:rPr>
        <w:t>. I</w:t>
      </w:r>
      <w:r w:rsidR="00FD1F6E">
        <w:rPr>
          <w:rFonts w:ascii="Times New Roman" w:hAnsi="Times New Roman" w:cs="Times New Roman"/>
          <w:bCs/>
          <w:sz w:val="24"/>
          <w:szCs w:val="24"/>
          <w:lang w:val="en-US"/>
        </w:rPr>
        <w:t>ts case law does not regard the commission of international crimes on board vessels, n</w:t>
      </w:r>
      <w:r w:rsidR="006E0F65">
        <w:rPr>
          <w:rFonts w:ascii="Times New Roman" w:hAnsi="Times New Roman" w:cs="Times New Roman"/>
          <w:bCs/>
          <w:sz w:val="24"/>
          <w:szCs w:val="24"/>
          <w:lang w:val="en-US"/>
        </w:rPr>
        <w:t>or does it regard fac</w:t>
      </w:r>
      <w:r w:rsidR="00D07759">
        <w:rPr>
          <w:rFonts w:ascii="Times New Roman" w:hAnsi="Times New Roman" w:cs="Times New Roman"/>
          <w:bCs/>
          <w:sz w:val="24"/>
          <w:szCs w:val="24"/>
          <w:lang w:val="en-US"/>
        </w:rPr>
        <w:t xml:space="preserve">ts that are similar to those that allegedly occurred onboard the </w:t>
      </w:r>
      <w:r w:rsidR="00D07759" w:rsidRPr="00D07759">
        <w:rPr>
          <w:rFonts w:ascii="Times New Roman" w:hAnsi="Times New Roman" w:cs="Times New Roman"/>
          <w:bCs/>
          <w:i/>
          <w:sz w:val="24"/>
          <w:szCs w:val="24"/>
          <w:lang w:val="en-US"/>
        </w:rPr>
        <w:t>Mavi Marmara</w:t>
      </w:r>
      <w:r w:rsidRPr="00FD1F6E">
        <w:rPr>
          <w:rFonts w:ascii="Times New Roman" w:hAnsi="Times New Roman" w:cs="Times New Roman"/>
          <w:bCs/>
          <w:sz w:val="24"/>
          <w:szCs w:val="24"/>
          <w:lang w:val="en-US"/>
        </w:rPr>
        <w:t>.</w:t>
      </w:r>
      <w:r w:rsidR="00CB29A8" w:rsidRPr="00FD1F6E">
        <w:rPr>
          <w:rStyle w:val="Rimandonotaapidipagina"/>
          <w:rFonts w:ascii="Times New Roman" w:hAnsi="Times New Roman" w:cs="Times New Roman"/>
          <w:bCs/>
          <w:sz w:val="24"/>
          <w:szCs w:val="24"/>
          <w:lang w:val="en-US"/>
        </w:rPr>
        <w:footnoteReference w:id="102"/>
      </w:r>
    </w:p>
    <w:p w:rsidR="00A629E3" w:rsidRDefault="00A629E3" w:rsidP="001E7C83">
      <w:pPr>
        <w:spacing w:after="0" w:line="360" w:lineRule="auto"/>
        <w:jc w:val="both"/>
        <w:rPr>
          <w:rFonts w:ascii="Times New Roman" w:hAnsi="Times New Roman" w:cs="Times New Roman"/>
          <w:bCs/>
          <w:sz w:val="24"/>
          <w:szCs w:val="24"/>
          <w:lang w:val="en-US"/>
        </w:rPr>
      </w:pPr>
    </w:p>
    <w:p w:rsidR="00CB29A8" w:rsidRPr="00FD1F6E" w:rsidRDefault="001E7C83" w:rsidP="001E7C83">
      <w:pPr>
        <w:spacing w:after="0" w:line="360" w:lineRule="auto"/>
        <w:jc w:val="both"/>
        <w:rPr>
          <w:rFonts w:ascii="Times New Roman" w:hAnsi="Times New Roman" w:cs="Times New Roman"/>
          <w:bCs/>
          <w:sz w:val="24"/>
          <w:szCs w:val="24"/>
          <w:lang w:val="en-US"/>
        </w:rPr>
      </w:pPr>
      <w:r w:rsidRPr="00FD1F6E">
        <w:rPr>
          <w:rFonts w:ascii="Times New Roman" w:hAnsi="Times New Roman" w:cs="Times New Roman"/>
          <w:bCs/>
          <w:sz w:val="24"/>
          <w:szCs w:val="24"/>
          <w:lang w:val="en-US"/>
        </w:rPr>
        <w:t xml:space="preserve">In conclusion, even if this author considers that the OTP should have examined the gravity issues in the </w:t>
      </w:r>
      <w:r w:rsidRPr="00FD1F6E">
        <w:rPr>
          <w:rFonts w:ascii="Times New Roman" w:hAnsi="Times New Roman" w:cs="Times New Roman"/>
          <w:bCs/>
          <w:i/>
          <w:sz w:val="24"/>
          <w:szCs w:val="24"/>
          <w:lang w:val="en-US"/>
        </w:rPr>
        <w:t>Mavi Marmara</w:t>
      </w:r>
      <w:r w:rsidRPr="00FD1F6E">
        <w:rPr>
          <w:rFonts w:ascii="Times New Roman" w:hAnsi="Times New Roman" w:cs="Times New Roman"/>
          <w:bCs/>
          <w:sz w:val="24"/>
          <w:szCs w:val="24"/>
          <w:lang w:val="en-US"/>
        </w:rPr>
        <w:t xml:space="preserve"> case in comparison with crimes </w:t>
      </w:r>
      <w:r w:rsidR="006E0F65">
        <w:rPr>
          <w:rFonts w:ascii="Times New Roman" w:hAnsi="Times New Roman" w:cs="Times New Roman"/>
          <w:bCs/>
          <w:sz w:val="24"/>
          <w:szCs w:val="24"/>
          <w:lang w:val="en-US"/>
        </w:rPr>
        <w:t>committed</w:t>
      </w:r>
      <w:r w:rsidRPr="00FD1F6E">
        <w:rPr>
          <w:rFonts w:ascii="Times New Roman" w:hAnsi="Times New Roman" w:cs="Times New Roman"/>
          <w:bCs/>
          <w:sz w:val="24"/>
          <w:szCs w:val="24"/>
          <w:lang w:val="en-US"/>
        </w:rPr>
        <w:t xml:space="preserve"> on board vessels, it is difficult to find case law and state practice that is relevant. The only case law that the OTP could have invoked </w:t>
      </w:r>
      <w:r w:rsidR="00E666E1" w:rsidRPr="00FD1F6E">
        <w:rPr>
          <w:rFonts w:ascii="Times New Roman" w:hAnsi="Times New Roman" w:cs="Times New Roman"/>
          <w:bCs/>
          <w:sz w:val="24"/>
          <w:szCs w:val="24"/>
          <w:lang w:val="en-US"/>
        </w:rPr>
        <w:t>are</w:t>
      </w:r>
      <w:r w:rsidRPr="00FD1F6E">
        <w:rPr>
          <w:rFonts w:ascii="Times New Roman" w:hAnsi="Times New Roman" w:cs="Times New Roman"/>
          <w:bCs/>
          <w:sz w:val="24"/>
          <w:szCs w:val="24"/>
          <w:lang w:val="en-US"/>
        </w:rPr>
        <w:t xml:space="preserve"> the judgment</w:t>
      </w:r>
      <w:r w:rsidR="00D07759">
        <w:rPr>
          <w:rFonts w:ascii="Times New Roman" w:hAnsi="Times New Roman" w:cs="Times New Roman"/>
          <w:bCs/>
          <w:sz w:val="24"/>
          <w:szCs w:val="24"/>
          <w:lang w:val="en-US"/>
        </w:rPr>
        <w:t>s</w:t>
      </w:r>
      <w:r w:rsidRPr="00FD1F6E">
        <w:rPr>
          <w:rFonts w:ascii="Times New Roman" w:hAnsi="Times New Roman" w:cs="Times New Roman"/>
          <w:bCs/>
          <w:sz w:val="24"/>
          <w:szCs w:val="24"/>
          <w:lang w:val="en-US"/>
        </w:rPr>
        <w:t xml:space="preserve"> of the </w:t>
      </w:r>
      <w:r w:rsidR="00E666E1" w:rsidRPr="00FD1F6E">
        <w:rPr>
          <w:rFonts w:ascii="Times New Roman" w:hAnsi="Times New Roman" w:cs="Times New Roman"/>
          <w:bCs/>
          <w:sz w:val="24"/>
          <w:szCs w:val="24"/>
          <w:lang w:val="en-US"/>
        </w:rPr>
        <w:t xml:space="preserve">two </w:t>
      </w:r>
      <w:r w:rsidRPr="00FD1F6E">
        <w:rPr>
          <w:rFonts w:ascii="Times New Roman" w:hAnsi="Times New Roman" w:cs="Times New Roman"/>
          <w:bCs/>
          <w:sz w:val="24"/>
          <w:szCs w:val="24"/>
          <w:lang w:val="en-US"/>
        </w:rPr>
        <w:t>International Military Tribunal</w:t>
      </w:r>
      <w:r w:rsidR="00E666E1" w:rsidRPr="00FD1F6E">
        <w:rPr>
          <w:rFonts w:ascii="Times New Roman" w:hAnsi="Times New Roman" w:cs="Times New Roman"/>
          <w:bCs/>
          <w:sz w:val="24"/>
          <w:szCs w:val="24"/>
          <w:lang w:val="en-US"/>
        </w:rPr>
        <w:t>s</w:t>
      </w:r>
      <w:r w:rsidRPr="00FD1F6E">
        <w:rPr>
          <w:rFonts w:ascii="Times New Roman" w:hAnsi="Times New Roman" w:cs="Times New Roman"/>
          <w:bCs/>
          <w:sz w:val="24"/>
          <w:szCs w:val="24"/>
          <w:lang w:val="en-US"/>
        </w:rPr>
        <w:t xml:space="preserve"> of Nuremberg</w:t>
      </w:r>
      <w:r w:rsidR="00E666E1" w:rsidRPr="00FD1F6E">
        <w:rPr>
          <w:rFonts w:ascii="Times New Roman" w:hAnsi="Times New Roman" w:cs="Times New Roman"/>
          <w:bCs/>
          <w:sz w:val="24"/>
          <w:szCs w:val="24"/>
          <w:lang w:val="en-US"/>
        </w:rPr>
        <w:t xml:space="preserve"> and Tokyo</w:t>
      </w:r>
      <w:r w:rsidRPr="00FD1F6E">
        <w:rPr>
          <w:rFonts w:ascii="Times New Roman" w:hAnsi="Times New Roman" w:cs="Times New Roman"/>
          <w:bCs/>
          <w:sz w:val="24"/>
          <w:szCs w:val="24"/>
          <w:lang w:val="en-US"/>
        </w:rPr>
        <w:t xml:space="preserve"> regarding unrestricted submarine warfare. Accordingly,</w:t>
      </w:r>
      <w:r w:rsidR="00E666E1" w:rsidRPr="00FD1F6E">
        <w:rPr>
          <w:rFonts w:ascii="Times New Roman" w:hAnsi="Times New Roman" w:cs="Times New Roman"/>
          <w:bCs/>
          <w:sz w:val="24"/>
          <w:szCs w:val="24"/>
          <w:lang w:val="en-US"/>
        </w:rPr>
        <w:t xml:space="preserve"> the OTP could have mentioned them</w:t>
      </w:r>
      <w:r w:rsidRPr="00FD1F6E">
        <w:rPr>
          <w:rFonts w:ascii="Times New Roman" w:hAnsi="Times New Roman" w:cs="Times New Roman"/>
          <w:bCs/>
          <w:sz w:val="24"/>
          <w:szCs w:val="24"/>
          <w:lang w:val="en-US"/>
        </w:rPr>
        <w:t xml:space="preserve"> in order to strengthen its opinion regarding the lack of sufficient gravity with regard to the</w:t>
      </w:r>
      <w:r w:rsidR="00E666E1" w:rsidRPr="00FD1F6E">
        <w:rPr>
          <w:rFonts w:ascii="Times New Roman" w:hAnsi="Times New Roman" w:cs="Times New Roman"/>
          <w:bCs/>
          <w:sz w:val="24"/>
          <w:szCs w:val="24"/>
          <w:lang w:val="en-US"/>
        </w:rPr>
        <w:t xml:space="preserve"> alleged crimes that occurred during the</w:t>
      </w:r>
      <w:r w:rsidRPr="00FD1F6E">
        <w:rPr>
          <w:rFonts w:ascii="Times New Roman" w:hAnsi="Times New Roman" w:cs="Times New Roman"/>
          <w:bCs/>
          <w:sz w:val="24"/>
          <w:szCs w:val="24"/>
          <w:lang w:val="en-US"/>
        </w:rPr>
        <w:t xml:space="preserve"> </w:t>
      </w:r>
      <w:r w:rsidRPr="00FD1F6E">
        <w:rPr>
          <w:rFonts w:ascii="Times New Roman" w:hAnsi="Times New Roman" w:cs="Times New Roman"/>
          <w:bCs/>
          <w:i/>
          <w:sz w:val="24"/>
          <w:szCs w:val="24"/>
          <w:lang w:val="en-US"/>
        </w:rPr>
        <w:t xml:space="preserve">Mavi Marmara </w:t>
      </w:r>
      <w:r w:rsidRPr="00FD1F6E">
        <w:rPr>
          <w:rFonts w:ascii="Times New Roman" w:hAnsi="Times New Roman" w:cs="Times New Roman"/>
          <w:bCs/>
          <w:sz w:val="24"/>
          <w:szCs w:val="24"/>
          <w:lang w:val="en-US"/>
        </w:rPr>
        <w:t>boarding.</w:t>
      </w:r>
      <w:r w:rsidR="00CB29A8" w:rsidRPr="00FD1F6E">
        <w:rPr>
          <w:rFonts w:ascii="Times New Roman" w:hAnsi="Times New Roman" w:cs="Times New Roman"/>
          <w:bCs/>
          <w:sz w:val="24"/>
          <w:szCs w:val="24"/>
          <w:lang w:val="en-US"/>
        </w:rPr>
        <w:t xml:space="preserve"> </w:t>
      </w:r>
    </w:p>
    <w:p w:rsidR="00A629E3" w:rsidRDefault="00A629E3" w:rsidP="00CB29A8">
      <w:pPr>
        <w:spacing w:after="0" w:line="360" w:lineRule="auto"/>
        <w:jc w:val="both"/>
        <w:rPr>
          <w:rFonts w:ascii="Times New Roman" w:hAnsi="Times New Roman" w:cs="Times New Roman"/>
          <w:sz w:val="24"/>
          <w:szCs w:val="24"/>
          <w:lang w:val="en-GB"/>
        </w:rPr>
      </w:pPr>
    </w:p>
    <w:p w:rsidR="00CB29A8" w:rsidRPr="00FD1F6E" w:rsidRDefault="00E666E1" w:rsidP="00CB29A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It should be noted that t</w:t>
      </w:r>
      <w:r w:rsidR="00CB29A8" w:rsidRPr="00FD1F6E">
        <w:rPr>
          <w:rFonts w:ascii="Times New Roman" w:hAnsi="Times New Roman" w:cs="Times New Roman"/>
          <w:sz w:val="24"/>
          <w:szCs w:val="24"/>
          <w:lang w:val="en-GB"/>
        </w:rPr>
        <w:t xml:space="preserve">he lack of relevant </w:t>
      </w:r>
      <w:r w:rsidRPr="00FD1F6E">
        <w:rPr>
          <w:rFonts w:ascii="Times New Roman" w:hAnsi="Times New Roman" w:cs="Times New Roman"/>
          <w:sz w:val="24"/>
          <w:szCs w:val="24"/>
          <w:lang w:val="en-GB"/>
        </w:rPr>
        <w:t xml:space="preserve">international </w:t>
      </w:r>
      <w:r w:rsidR="00CB29A8" w:rsidRPr="00FD1F6E">
        <w:rPr>
          <w:rFonts w:ascii="Times New Roman" w:hAnsi="Times New Roman" w:cs="Times New Roman"/>
          <w:sz w:val="24"/>
          <w:szCs w:val="24"/>
          <w:lang w:val="en-GB"/>
        </w:rPr>
        <w:t xml:space="preserve">case law could </w:t>
      </w:r>
      <w:r w:rsidR="00A629E3">
        <w:rPr>
          <w:rFonts w:ascii="Times New Roman" w:hAnsi="Times New Roman" w:cs="Times New Roman"/>
          <w:sz w:val="24"/>
          <w:szCs w:val="24"/>
          <w:lang w:val="en-GB"/>
        </w:rPr>
        <w:t>broaden</w:t>
      </w:r>
      <w:r w:rsidR="00CB29A8" w:rsidRPr="00FD1F6E">
        <w:rPr>
          <w:rFonts w:ascii="Times New Roman" w:hAnsi="Times New Roman" w:cs="Times New Roman"/>
          <w:sz w:val="24"/>
          <w:szCs w:val="24"/>
          <w:lang w:val="en-GB"/>
        </w:rPr>
        <w:t xml:space="preserve"> the OTP’s discretion regarding alleged crimes committed on board vessels. There is the risk that only crimes committed on mainland could fall within the jurisdiction of the Court, given the fact that the obviously restricted dimensions of a ship could not likely be the stage of mass atrocities such as those that normally are the object of the OTP’s activity.</w:t>
      </w:r>
    </w:p>
    <w:p w:rsidR="00A629E3" w:rsidRDefault="00A629E3" w:rsidP="001E7C83">
      <w:pPr>
        <w:spacing w:after="0" w:line="360" w:lineRule="auto"/>
        <w:jc w:val="both"/>
        <w:rPr>
          <w:rFonts w:ascii="Times New Roman" w:hAnsi="Times New Roman" w:cs="Times New Roman"/>
          <w:bCs/>
          <w:sz w:val="24"/>
          <w:szCs w:val="24"/>
          <w:lang w:val="en-US"/>
        </w:rPr>
      </w:pPr>
    </w:p>
    <w:p w:rsidR="00CB29A8" w:rsidRPr="00FD1F6E" w:rsidRDefault="00CB29A8" w:rsidP="001E7C83">
      <w:pPr>
        <w:spacing w:after="0" w:line="360" w:lineRule="auto"/>
        <w:jc w:val="both"/>
        <w:rPr>
          <w:rFonts w:ascii="Times New Roman" w:hAnsi="Times New Roman" w:cs="Times New Roman"/>
          <w:bCs/>
          <w:sz w:val="24"/>
          <w:szCs w:val="24"/>
          <w:lang w:val="en-US"/>
        </w:rPr>
      </w:pPr>
      <w:r w:rsidRPr="00FD1F6E">
        <w:rPr>
          <w:rFonts w:ascii="Times New Roman" w:hAnsi="Times New Roman" w:cs="Times New Roman"/>
          <w:bCs/>
          <w:sz w:val="24"/>
          <w:szCs w:val="24"/>
          <w:lang w:val="en-US"/>
        </w:rPr>
        <w:t xml:space="preserve">On this basis, </w:t>
      </w:r>
      <w:r w:rsidR="00E666E1" w:rsidRPr="00FD1F6E">
        <w:rPr>
          <w:rFonts w:ascii="Times New Roman" w:hAnsi="Times New Roman" w:cs="Times New Roman"/>
          <w:bCs/>
          <w:sz w:val="24"/>
          <w:szCs w:val="24"/>
          <w:lang w:val="en-US"/>
        </w:rPr>
        <w:t>this author considers that th</w:t>
      </w:r>
      <w:r w:rsidRPr="00FD1F6E">
        <w:rPr>
          <w:rFonts w:ascii="Times New Roman" w:hAnsi="Times New Roman" w:cs="Times New Roman"/>
          <w:bCs/>
          <w:sz w:val="24"/>
          <w:szCs w:val="24"/>
          <w:lang w:val="en-US"/>
        </w:rPr>
        <w:t xml:space="preserve">e OTP’s gravity assessment in the </w:t>
      </w:r>
      <w:r w:rsidRPr="00FD1F6E">
        <w:rPr>
          <w:rFonts w:ascii="Times New Roman" w:hAnsi="Times New Roman" w:cs="Times New Roman"/>
          <w:bCs/>
          <w:i/>
          <w:sz w:val="24"/>
          <w:szCs w:val="24"/>
          <w:lang w:val="en-US"/>
        </w:rPr>
        <w:t>Mavi Marmara</w:t>
      </w:r>
      <w:r w:rsidRPr="00FD1F6E">
        <w:rPr>
          <w:rFonts w:ascii="Times New Roman" w:hAnsi="Times New Roman" w:cs="Times New Roman"/>
          <w:bCs/>
          <w:sz w:val="24"/>
          <w:szCs w:val="24"/>
          <w:lang w:val="en-US"/>
        </w:rPr>
        <w:t xml:space="preserve"> affair, PTC I’s opinion on the Decision Not to Investigate, and the OTP’s </w:t>
      </w:r>
      <w:r w:rsidR="00D07759">
        <w:rPr>
          <w:rFonts w:ascii="Times New Roman" w:hAnsi="Times New Roman" w:cs="Times New Roman"/>
          <w:bCs/>
          <w:sz w:val="24"/>
          <w:szCs w:val="24"/>
          <w:lang w:val="en-US"/>
        </w:rPr>
        <w:t xml:space="preserve">future </w:t>
      </w:r>
      <w:r w:rsidRPr="00FD1F6E">
        <w:rPr>
          <w:rFonts w:ascii="Times New Roman" w:hAnsi="Times New Roman" w:cs="Times New Roman"/>
          <w:bCs/>
          <w:sz w:val="24"/>
          <w:szCs w:val="24"/>
          <w:lang w:val="en-US"/>
        </w:rPr>
        <w:t>final decision on the opening of an investigation, will be considered in the f</w:t>
      </w:r>
      <w:r w:rsidR="00E666E1" w:rsidRPr="00FD1F6E">
        <w:rPr>
          <w:rFonts w:ascii="Times New Roman" w:hAnsi="Times New Roman" w:cs="Times New Roman"/>
          <w:bCs/>
          <w:sz w:val="24"/>
          <w:szCs w:val="24"/>
          <w:lang w:val="en-US"/>
        </w:rPr>
        <w:t>uture the only direct precedent</w:t>
      </w:r>
      <w:r w:rsidRPr="00FD1F6E">
        <w:rPr>
          <w:rFonts w:ascii="Times New Roman" w:hAnsi="Times New Roman" w:cs="Times New Roman"/>
          <w:bCs/>
          <w:sz w:val="24"/>
          <w:szCs w:val="24"/>
          <w:lang w:val="en-US"/>
        </w:rPr>
        <w:t xml:space="preserve"> regarding the gravity of alleged crimes committed on board vessels under the Rome Statute.  </w:t>
      </w:r>
    </w:p>
    <w:p w:rsidR="0011339E" w:rsidRPr="00D07759" w:rsidRDefault="0011339E" w:rsidP="0011339E">
      <w:pPr>
        <w:spacing w:after="0" w:line="360" w:lineRule="auto"/>
        <w:jc w:val="both"/>
        <w:rPr>
          <w:rFonts w:ascii="Times New Roman" w:hAnsi="Times New Roman" w:cs="Times New Roman"/>
          <w:sz w:val="24"/>
          <w:szCs w:val="24"/>
          <w:lang w:val="en-US"/>
        </w:rPr>
      </w:pPr>
    </w:p>
    <w:p w:rsidR="0011339E" w:rsidRPr="00FD1F6E" w:rsidRDefault="00A16809" w:rsidP="0011339E">
      <w:pPr>
        <w:spacing w:after="0" w:line="360" w:lineRule="auto"/>
        <w:jc w:val="both"/>
        <w:rPr>
          <w:rFonts w:ascii="Times New Roman" w:hAnsi="Times New Roman" w:cs="Times New Roman"/>
          <w:b/>
          <w:sz w:val="24"/>
          <w:szCs w:val="24"/>
          <w:lang w:val="en-GB"/>
        </w:rPr>
      </w:pPr>
      <w:r w:rsidRPr="00FD1F6E">
        <w:rPr>
          <w:rFonts w:ascii="Times New Roman" w:hAnsi="Times New Roman" w:cs="Times New Roman"/>
          <w:b/>
          <w:sz w:val="24"/>
          <w:szCs w:val="24"/>
          <w:lang w:val="en-GB"/>
        </w:rPr>
        <w:t>7</w:t>
      </w:r>
      <w:r w:rsidR="0011339E" w:rsidRPr="00FD1F6E">
        <w:rPr>
          <w:rFonts w:ascii="Times New Roman" w:hAnsi="Times New Roman" w:cs="Times New Roman"/>
          <w:b/>
          <w:sz w:val="24"/>
          <w:szCs w:val="24"/>
          <w:lang w:val="en-GB"/>
        </w:rPr>
        <w:t xml:space="preserve">. Conclusion </w:t>
      </w:r>
    </w:p>
    <w:p w:rsidR="00053421" w:rsidRPr="00FD1F6E" w:rsidRDefault="0011339E" w:rsidP="00B866B2">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This article attempted to d</w:t>
      </w:r>
      <w:r w:rsidR="00CB29A8" w:rsidRPr="00FD1F6E">
        <w:rPr>
          <w:rFonts w:ascii="Times New Roman" w:hAnsi="Times New Roman" w:cs="Times New Roman"/>
          <w:sz w:val="24"/>
          <w:szCs w:val="24"/>
          <w:lang w:val="en-GB"/>
        </w:rPr>
        <w:t>emonstrate that, in relation to</w:t>
      </w:r>
      <w:r w:rsidRPr="00FD1F6E">
        <w:rPr>
          <w:rFonts w:ascii="Times New Roman" w:hAnsi="Times New Roman" w:cs="Times New Roman"/>
          <w:sz w:val="24"/>
          <w:szCs w:val="24"/>
          <w:lang w:val="en-GB"/>
        </w:rPr>
        <w:t xml:space="preserve"> the crimes allegedly committed during the </w:t>
      </w:r>
      <w:r w:rsidRPr="00FD1F6E">
        <w:rPr>
          <w:rFonts w:ascii="Times New Roman" w:hAnsi="Times New Roman" w:cs="Times New Roman"/>
          <w:i/>
          <w:sz w:val="24"/>
          <w:szCs w:val="24"/>
          <w:lang w:val="en-GB"/>
        </w:rPr>
        <w:t>Mavi Marmara</w:t>
      </w:r>
      <w:r w:rsidRPr="00FD1F6E">
        <w:rPr>
          <w:rFonts w:ascii="Times New Roman" w:hAnsi="Times New Roman" w:cs="Times New Roman"/>
          <w:sz w:val="24"/>
          <w:szCs w:val="24"/>
          <w:lang w:val="en-GB"/>
        </w:rPr>
        <w:t xml:space="preserve"> </w:t>
      </w:r>
      <w:r w:rsidR="00A629E3">
        <w:rPr>
          <w:rFonts w:ascii="Times New Roman" w:hAnsi="Times New Roman" w:cs="Times New Roman"/>
          <w:sz w:val="24"/>
          <w:szCs w:val="24"/>
          <w:lang w:val="en-GB"/>
        </w:rPr>
        <w:t>boarding</w:t>
      </w:r>
      <w:r w:rsidRPr="00FD1F6E">
        <w:rPr>
          <w:rFonts w:ascii="Times New Roman" w:hAnsi="Times New Roman" w:cs="Times New Roman"/>
          <w:sz w:val="24"/>
          <w:szCs w:val="24"/>
          <w:lang w:val="en-GB"/>
        </w:rPr>
        <w:t xml:space="preserve">, both the evaluations of gravity embodied in the OTP’s Decision Not to Investigate and in PTC I’s decision are flawed. The OTP should </w:t>
      </w:r>
      <w:r w:rsidRPr="00FD1F6E">
        <w:rPr>
          <w:rFonts w:ascii="Times New Roman" w:hAnsi="Times New Roman" w:cs="Times New Roman"/>
          <w:sz w:val="24"/>
          <w:szCs w:val="24"/>
          <w:lang w:val="en-GB"/>
        </w:rPr>
        <w:lastRenderedPageBreak/>
        <w:t xml:space="preserve">have properly considered that </w:t>
      </w:r>
      <w:r w:rsidR="00CB29A8" w:rsidRPr="00FD1F6E">
        <w:rPr>
          <w:rFonts w:ascii="Times New Roman" w:hAnsi="Times New Roman" w:cs="Times New Roman"/>
          <w:sz w:val="24"/>
          <w:szCs w:val="24"/>
          <w:lang w:val="en-GB"/>
        </w:rPr>
        <w:t>the admissibility threshold</w:t>
      </w:r>
      <w:r w:rsidRPr="00FD1F6E">
        <w:rPr>
          <w:rFonts w:ascii="Times New Roman" w:hAnsi="Times New Roman" w:cs="Times New Roman"/>
          <w:sz w:val="24"/>
          <w:szCs w:val="24"/>
          <w:lang w:val="en-GB"/>
        </w:rPr>
        <w:t xml:space="preserve"> </w:t>
      </w:r>
      <w:r w:rsidR="00CB29A8" w:rsidRPr="00FD1F6E">
        <w:rPr>
          <w:rFonts w:ascii="Times New Roman" w:hAnsi="Times New Roman" w:cs="Times New Roman"/>
          <w:sz w:val="24"/>
          <w:szCs w:val="24"/>
          <w:lang w:val="en-GB"/>
        </w:rPr>
        <w:t>at the stage of</w:t>
      </w:r>
      <w:r w:rsidRPr="00FD1F6E">
        <w:rPr>
          <w:rFonts w:ascii="Times New Roman" w:hAnsi="Times New Roman" w:cs="Times New Roman"/>
          <w:sz w:val="24"/>
          <w:szCs w:val="24"/>
          <w:lang w:val="en-GB"/>
        </w:rPr>
        <w:t xml:space="preserve"> preliminary examination</w:t>
      </w:r>
      <w:r w:rsidR="00CB29A8" w:rsidRPr="00FD1F6E">
        <w:rPr>
          <w:rFonts w:ascii="Times New Roman" w:hAnsi="Times New Roman" w:cs="Times New Roman"/>
          <w:sz w:val="24"/>
          <w:szCs w:val="24"/>
          <w:lang w:val="en-GB"/>
        </w:rPr>
        <w:t>s</w:t>
      </w:r>
      <w:r w:rsidRPr="00FD1F6E">
        <w:rPr>
          <w:rFonts w:ascii="Times New Roman" w:hAnsi="Times New Roman" w:cs="Times New Roman"/>
          <w:sz w:val="24"/>
          <w:szCs w:val="24"/>
          <w:lang w:val="en-GB"/>
        </w:rPr>
        <w:t xml:space="preserve"> </w:t>
      </w:r>
      <w:r w:rsidR="00CB29A8" w:rsidRPr="00FD1F6E">
        <w:rPr>
          <w:rFonts w:ascii="Times New Roman" w:hAnsi="Times New Roman" w:cs="Times New Roman"/>
          <w:sz w:val="24"/>
          <w:szCs w:val="24"/>
          <w:lang w:val="en-GB"/>
        </w:rPr>
        <w:t xml:space="preserve">is less </w:t>
      </w:r>
      <w:r w:rsidR="006E0F65">
        <w:rPr>
          <w:rFonts w:ascii="Times New Roman" w:hAnsi="Times New Roman" w:cs="Times New Roman"/>
          <w:sz w:val="24"/>
          <w:szCs w:val="24"/>
          <w:lang w:val="en-GB"/>
        </w:rPr>
        <w:t>stringent</w:t>
      </w:r>
      <w:r w:rsidR="00CB29A8" w:rsidRPr="00FD1F6E">
        <w:rPr>
          <w:rFonts w:ascii="Times New Roman" w:hAnsi="Times New Roman" w:cs="Times New Roman"/>
          <w:sz w:val="24"/>
          <w:szCs w:val="24"/>
          <w:lang w:val="en-GB"/>
        </w:rPr>
        <w:t xml:space="preserve"> tha</w:t>
      </w:r>
      <w:r w:rsidR="006E0F65">
        <w:rPr>
          <w:rFonts w:ascii="Times New Roman" w:hAnsi="Times New Roman" w:cs="Times New Roman"/>
          <w:sz w:val="24"/>
          <w:szCs w:val="24"/>
          <w:lang w:val="en-GB"/>
        </w:rPr>
        <w:t>n</w:t>
      </w:r>
      <w:r w:rsidR="00CB29A8" w:rsidRPr="00FD1F6E">
        <w:rPr>
          <w:rFonts w:ascii="Times New Roman" w:hAnsi="Times New Roman" w:cs="Times New Roman"/>
          <w:sz w:val="24"/>
          <w:szCs w:val="24"/>
          <w:lang w:val="en-GB"/>
        </w:rPr>
        <w:t xml:space="preserve"> the one embodied in Article 53(2)</w:t>
      </w:r>
      <w:r w:rsidR="0059103C" w:rsidRPr="00FD1F6E">
        <w:rPr>
          <w:rFonts w:ascii="Times New Roman" w:hAnsi="Times New Roman" w:cs="Times New Roman"/>
          <w:sz w:val="24"/>
          <w:szCs w:val="24"/>
          <w:lang w:val="en-GB"/>
        </w:rPr>
        <w:t>. M</w:t>
      </w:r>
      <w:r w:rsidR="00B866B2" w:rsidRPr="00FD1F6E">
        <w:rPr>
          <w:rFonts w:ascii="Times New Roman" w:hAnsi="Times New Roman" w:cs="Times New Roman"/>
          <w:sz w:val="24"/>
          <w:szCs w:val="24"/>
          <w:lang w:val="en-GB"/>
        </w:rPr>
        <w:t>oreover, the</w:t>
      </w:r>
      <w:r w:rsidR="00CB29A8" w:rsidRPr="00FD1F6E">
        <w:rPr>
          <w:rFonts w:ascii="Times New Roman" w:hAnsi="Times New Roman" w:cs="Times New Roman"/>
          <w:sz w:val="24"/>
          <w:szCs w:val="24"/>
          <w:lang w:val="en-GB"/>
        </w:rPr>
        <w:t>re is room to argue</w:t>
      </w:r>
      <w:r w:rsidR="00B866B2" w:rsidRPr="00FD1F6E">
        <w:rPr>
          <w:rFonts w:ascii="Times New Roman" w:hAnsi="Times New Roman" w:cs="Times New Roman"/>
          <w:sz w:val="24"/>
          <w:szCs w:val="24"/>
          <w:lang w:val="en-GB"/>
        </w:rPr>
        <w:t xml:space="preserve"> </w:t>
      </w:r>
      <w:r w:rsidR="00CB29A8" w:rsidRPr="00FD1F6E">
        <w:rPr>
          <w:rFonts w:ascii="Times New Roman" w:hAnsi="Times New Roman" w:cs="Times New Roman"/>
          <w:sz w:val="24"/>
          <w:szCs w:val="24"/>
          <w:lang w:val="en-GB"/>
        </w:rPr>
        <w:t xml:space="preserve">that </w:t>
      </w:r>
      <w:r w:rsidR="00D07759">
        <w:rPr>
          <w:rFonts w:ascii="Times New Roman" w:hAnsi="Times New Roman" w:cs="Times New Roman"/>
          <w:sz w:val="24"/>
          <w:szCs w:val="24"/>
          <w:lang w:val="en-GB"/>
        </w:rPr>
        <w:t xml:space="preserve">the </w:t>
      </w:r>
      <w:r w:rsidR="00B866B2" w:rsidRPr="00FD1F6E">
        <w:rPr>
          <w:rFonts w:ascii="Times New Roman" w:hAnsi="Times New Roman" w:cs="Times New Roman"/>
          <w:sz w:val="24"/>
          <w:szCs w:val="24"/>
          <w:lang w:val="en-GB"/>
        </w:rPr>
        <w:t xml:space="preserve">OTP </w:t>
      </w:r>
      <w:r w:rsidR="00CB29A8" w:rsidRPr="00FD1F6E">
        <w:rPr>
          <w:rFonts w:ascii="Times New Roman" w:hAnsi="Times New Roman" w:cs="Times New Roman"/>
          <w:sz w:val="24"/>
          <w:szCs w:val="24"/>
          <w:lang w:val="en-GB"/>
        </w:rPr>
        <w:t>c</w:t>
      </w:r>
      <w:r w:rsidR="00B866B2" w:rsidRPr="00FD1F6E">
        <w:rPr>
          <w:rFonts w:ascii="Times New Roman" w:hAnsi="Times New Roman" w:cs="Times New Roman"/>
          <w:sz w:val="24"/>
          <w:szCs w:val="24"/>
          <w:lang w:val="en-GB"/>
        </w:rPr>
        <w:t xml:space="preserve">ould have taken into account the narrow spatial element of the </w:t>
      </w:r>
      <w:r w:rsidRPr="00FD1F6E">
        <w:rPr>
          <w:rFonts w:ascii="Times New Roman" w:hAnsi="Times New Roman" w:cs="Times New Roman"/>
          <w:i/>
          <w:sz w:val="24"/>
          <w:szCs w:val="24"/>
          <w:lang w:val="en-GB"/>
        </w:rPr>
        <w:t>Mavi Marmara</w:t>
      </w:r>
      <w:r w:rsidR="00CB29A8" w:rsidRPr="00FD1F6E">
        <w:rPr>
          <w:rFonts w:ascii="Times New Roman" w:hAnsi="Times New Roman" w:cs="Times New Roman"/>
          <w:sz w:val="24"/>
          <w:szCs w:val="24"/>
          <w:lang w:val="en-GB"/>
        </w:rPr>
        <w:t xml:space="preserve"> in the evaluation of gravity, even if there is no significant international practice or jurisprudence regarding the commission of crimes under the Rome Statute on board vessels.</w:t>
      </w:r>
    </w:p>
    <w:p w:rsidR="00A629E3" w:rsidRDefault="00A629E3" w:rsidP="00CA0198">
      <w:pPr>
        <w:spacing w:after="0" w:line="360" w:lineRule="auto"/>
        <w:jc w:val="both"/>
        <w:rPr>
          <w:rFonts w:ascii="Times New Roman" w:hAnsi="Times New Roman" w:cs="Times New Roman"/>
          <w:sz w:val="24"/>
          <w:szCs w:val="24"/>
          <w:lang w:val="en-GB"/>
        </w:rPr>
      </w:pPr>
    </w:p>
    <w:p w:rsidR="00C3292C" w:rsidRPr="00FD1F6E" w:rsidRDefault="00B866B2" w:rsidP="00CA0198">
      <w:pPr>
        <w:spacing w:after="0" w:line="360" w:lineRule="auto"/>
        <w:jc w:val="both"/>
        <w:rPr>
          <w:rFonts w:ascii="Times New Roman" w:hAnsi="Times New Roman" w:cs="Times New Roman"/>
          <w:sz w:val="24"/>
          <w:szCs w:val="24"/>
          <w:lang w:val="en-GB"/>
        </w:rPr>
      </w:pPr>
      <w:r w:rsidRPr="00FD1F6E">
        <w:rPr>
          <w:rFonts w:ascii="Times New Roman" w:hAnsi="Times New Roman" w:cs="Times New Roman"/>
          <w:sz w:val="24"/>
          <w:szCs w:val="24"/>
          <w:lang w:val="en-GB"/>
        </w:rPr>
        <w:t xml:space="preserve">This author’s </w:t>
      </w:r>
      <w:r w:rsidR="00CB29A8" w:rsidRPr="00FD1F6E">
        <w:rPr>
          <w:rFonts w:ascii="Times New Roman" w:hAnsi="Times New Roman" w:cs="Times New Roman"/>
          <w:sz w:val="24"/>
          <w:szCs w:val="24"/>
          <w:lang w:val="en-GB"/>
        </w:rPr>
        <w:t>hope</w:t>
      </w:r>
      <w:r w:rsidRPr="00FD1F6E">
        <w:rPr>
          <w:rFonts w:ascii="Times New Roman" w:hAnsi="Times New Roman" w:cs="Times New Roman"/>
          <w:sz w:val="24"/>
          <w:szCs w:val="24"/>
          <w:lang w:val="en-GB"/>
        </w:rPr>
        <w:t xml:space="preserve"> is that the OTP will reconsider the gravity conundrum</w:t>
      </w:r>
      <w:r w:rsidR="00656CEF" w:rsidRPr="00FD1F6E">
        <w:rPr>
          <w:rFonts w:ascii="Times New Roman" w:hAnsi="Times New Roman" w:cs="Times New Roman"/>
          <w:sz w:val="24"/>
          <w:szCs w:val="24"/>
          <w:lang w:val="en-GB"/>
        </w:rPr>
        <w:t xml:space="preserve"> fairly</w:t>
      </w:r>
      <w:r w:rsidRPr="00FD1F6E">
        <w:rPr>
          <w:rFonts w:ascii="Times New Roman" w:hAnsi="Times New Roman" w:cs="Times New Roman"/>
          <w:sz w:val="24"/>
          <w:szCs w:val="24"/>
          <w:lang w:val="en-GB"/>
        </w:rPr>
        <w:t>, without considering the instant case as a pretext to engage</w:t>
      </w:r>
      <w:r w:rsidR="0059103C" w:rsidRPr="00FD1F6E">
        <w:rPr>
          <w:rFonts w:ascii="Times New Roman" w:hAnsi="Times New Roman" w:cs="Times New Roman"/>
          <w:sz w:val="24"/>
          <w:szCs w:val="24"/>
          <w:lang w:val="en-GB"/>
        </w:rPr>
        <w:t xml:space="preserve"> in</w:t>
      </w:r>
      <w:r w:rsidRPr="00FD1F6E">
        <w:rPr>
          <w:rFonts w:ascii="Times New Roman" w:hAnsi="Times New Roman" w:cs="Times New Roman"/>
          <w:sz w:val="24"/>
          <w:szCs w:val="24"/>
          <w:lang w:val="en-GB"/>
        </w:rPr>
        <w:t xml:space="preserve"> a difficult confrontation with PTC I regarding the boundaries of the OTP’s discretionary powers and independence.</w:t>
      </w:r>
    </w:p>
    <w:sectPr w:rsidR="00C3292C" w:rsidRPr="00FD1F6E" w:rsidSect="00CA0198">
      <w:footerReference w:type="default" r:id="rId9"/>
      <w:pgSz w:w="11906" w:h="16838"/>
      <w:pgMar w:top="1701" w:right="1701" w:bottom="1701"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cer" w:date="2016-05-05T16:24:00Z" w:initials="A">
    <w:p w:rsidR="00C81D41" w:rsidRPr="00AA36D1" w:rsidRDefault="00C81D41">
      <w:pPr>
        <w:pStyle w:val="Testocommento"/>
        <w:rPr>
          <w:lang w:val="en-US"/>
        </w:rPr>
      </w:pPr>
      <w:r>
        <w:rPr>
          <w:rStyle w:val="Rimandocommento"/>
        </w:rPr>
        <w:annotationRef/>
      </w:r>
      <w:r w:rsidRPr="00AA36D1">
        <w:rPr>
          <w:lang w:val="en-US"/>
        </w:rPr>
        <w:t>In the text, you have d</w:t>
      </w:r>
      <w:r>
        <w:rPr>
          <w:lang w:val="en-US"/>
        </w:rPr>
        <w:t>eleted the final ‘e’</w:t>
      </w:r>
      <w:r w:rsidR="00406BA0">
        <w:rPr>
          <w:lang w:val="en-US"/>
        </w:rPr>
        <w:t xml:space="preserve"> in every reference to the Mavi Marmara affair(e)</w:t>
      </w:r>
      <w:r>
        <w:rPr>
          <w:lang w:val="en-US"/>
        </w:rPr>
        <w:t xml:space="preserve">. Accordingly, I have deleted it even here. </w:t>
      </w:r>
    </w:p>
  </w:comment>
  <w:comment w:id="1" w:author="Acer" w:date="2016-05-05T12:46:00Z" w:initials="A">
    <w:p w:rsidR="00C81D41" w:rsidRPr="00AA36D1" w:rsidRDefault="00C81D41">
      <w:pPr>
        <w:pStyle w:val="Testocommento"/>
        <w:rPr>
          <w:lang w:val="en-US"/>
        </w:rPr>
      </w:pPr>
      <w:r>
        <w:rPr>
          <w:rStyle w:val="Rimandocommento"/>
        </w:rPr>
        <w:annotationRef/>
      </w:r>
      <w:r w:rsidRPr="00AA36D1">
        <w:rPr>
          <w:lang w:val="en-US"/>
        </w:rPr>
        <w:t>Your revision changed this in ‘</w:t>
      </w:r>
      <w:r>
        <w:rPr>
          <w:lang w:val="en-US"/>
        </w:rPr>
        <w:t>e’. However, other nouns in the titles of the sections are capitalized. Accordingly, I think this should be ‘E’.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4DA" w:rsidRDefault="00DC34DA" w:rsidP="004C6CEE">
      <w:pPr>
        <w:spacing w:after="0" w:line="240" w:lineRule="auto"/>
      </w:pPr>
      <w:r>
        <w:separator/>
      </w:r>
    </w:p>
  </w:endnote>
  <w:endnote w:type="continuationSeparator" w:id="1">
    <w:p w:rsidR="00DC34DA" w:rsidRDefault="00DC34DA" w:rsidP="004C6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38704"/>
      <w:docPartObj>
        <w:docPartGallery w:val="Page Numbers (Bottom of Page)"/>
        <w:docPartUnique/>
      </w:docPartObj>
    </w:sdtPr>
    <w:sdtContent>
      <w:p w:rsidR="00C81D41" w:rsidRDefault="004A7488">
        <w:pPr>
          <w:pStyle w:val="Pidipagina"/>
          <w:jc w:val="center"/>
        </w:pPr>
        <w:fldSimple w:instr=" PAGE   \* MERGEFORMAT ">
          <w:r w:rsidR="00406BA0">
            <w:rPr>
              <w:noProof/>
            </w:rPr>
            <w:t>1</w:t>
          </w:r>
        </w:fldSimple>
      </w:p>
    </w:sdtContent>
  </w:sdt>
  <w:p w:rsidR="00C81D41" w:rsidRDefault="00C81D4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4DA" w:rsidRDefault="00DC34DA" w:rsidP="004C6CEE">
      <w:pPr>
        <w:spacing w:after="0" w:line="240" w:lineRule="auto"/>
      </w:pPr>
      <w:r>
        <w:separator/>
      </w:r>
    </w:p>
  </w:footnote>
  <w:footnote w:type="continuationSeparator" w:id="1">
    <w:p w:rsidR="00DC34DA" w:rsidRDefault="00DC34DA" w:rsidP="004C6CEE">
      <w:pPr>
        <w:spacing w:after="0" w:line="240" w:lineRule="auto"/>
      </w:pPr>
      <w:r>
        <w:continuationSeparator/>
      </w:r>
    </w:p>
  </w:footnote>
  <w:footnote w:id="2">
    <w:p w:rsidR="00C81D41" w:rsidRPr="00CB29A8" w:rsidRDefault="00C81D41" w:rsidP="00CB29A8">
      <w:pPr>
        <w:pStyle w:val="Testonotaapidipagina"/>
        <w:jc w:val="both"/>
        <w:rPr>
          <w:rFonts w:ascii="Times New Roman" w:hAnsi="Times New Roman" w:cs="Times New Roman"/>
          <w:lang w:val="en-GB"/>
        </w:rPr>
      </w:pPr>
      <w:r w:rsidRPr="00CB29A8">
        <w:rPr>
          <w:rFonts w:ascii="Times New Roman" w:hAnsi="Times New Roman" w:cs="Times New Roman"/>
          <w:lang w:val="en-GB"/>
        </w:rPr>
        <w:t>* PhD Candidate (International Law and European Union Law), School of Law, University of Rome ‘Sapienza’; Teaching Assistant (International Law) and Adjunct Professor (EU Law), School of Law, University of Messina</w:t>
      </w:r>
      <w:r>
        <w:rPr>
          <w:rFonts w:ascii="Times New Roman" w:hAnsi="Times New Roman" w:cs="Times New Roman"/>
          <w:lang w:val="en-GB"/>
        </w:rPr>
        <w:t>; Visiting Researcher, Law school, University of Westminster</w:t>
      </w:r>
      <w:r w:rsidRPr="00CB29A8">
        <w:rPr>
          <w:rFonts w:ascii="Times New Roman" w:hAnsi="Times New Roman" w:cs="Times New Roman"/>
          <w:lang w:val="en-GB"/>
        </w:rPr>
        <w:t xml:space="preserve">. Mail: mlongobardo@unime.it. Special thanks to </w:t>
      </w:r>
      <w:r>
        <w:rPr>
          <w:rFonts w:ascii="Times New Roman" w:hAnsi="Times New Roman" w:cs="Times New Roman"/>
          <w:lang w:val="en-GB"/>
        </w:rPr>
        <w:t>Lorenzo Gradoni,</w:t>
      </w:r>
      <w:r w:rsidRPr="00CB29A8">
        <w:rPr>
          <w:rFonts w:ascii="Times New Roman" w:hAnsi="Times New Roman" w:cs="Times New Roman"/>
          <w:lang w:val="en-GB"/>
        </w:rPr>
        <w:t xml:space="preserve"> and the anonymous referees</w:t>
      </w:r>
      <w:r>
        <w:rPr>
          <w:rFonts w:ascii="Times New Roman" w:hAnsi="Times New Roman" w:cs="Times New Roman"/>
          <w:lang w:val="en-GB"/>
        </w:rPr>
        <w:t xml:space="preserve"> and editors</w:t>
      </w:r>
      <w:r w:rsidRPr="00CB29A8">
        <w:rPr>
          <w:rFonts w:ascii="Times New Roman" w:hAnsi="Times New Roman" w:cs="Times New Roman"/>
          <w:lang w:val="en-GB"/>
        </w:rPr>
        <w:t xml:space="preserve"> of the </w:t>
      </w:r>
      <w:r w:rsidRPr="00CB29A8">
        <w:rPr>
          <w:rFonts w:ascii="Times New Roman" w:hAnsi="Times New Roman" w:cs="Times New Roman"/>
          <w:i/>
          <w:lang w:val="en-GB"/>
        </w:rPr>
        <w:t>Journal of International Criminal Justice</w:t>
      </w:r>
      <w:r w:rsidRPr="00CB29A8">
        <w:rPr>
          <w:rFonts w:ascii="Times New Roman" w:hAnsi="Times New Roman" w:cs="Times New Roman"/>
          <w:lang w:val="en-GB"/>
        </w:rPr>
        <w:t xml:space="preserve"> for their comments on </w:t>
      </w:r>
      <w:r>
        <w:rPr>
          <w:rFonts w:ascii="Times New Roman" w:hAnsi="Times New Roman" w:cs="Times New Roman"/>
          <w:lang w:val="en-GB"/>
        </w:rPr>
        <w:t>previous drafts</w:t>
      </w:r>
      <w:r w:rsidRPr="00CB29A8">
        <w:rPr>
          <w:rFonts w:ascii="Times New Roman" w:hAnsi="Times New Roman" w:cs="Times New Roman"/>
          <w:lang w:val="en-GB"/>
        </w:rPr>
        <w:t xml:space="preserve"> of this essay; </w:t>
      </w:r>
      <w:r>
        <w:rPr>
          <w:rFonts w:ascii="Times New Roman" w:hAnsi="Times New Roman" w:cs="Times New Roman"/>
          <w:lang w:val="en-GB"/>
        </w:rPr>
        <w:t xml:space="preserve">I am also grateful to </w:t>
      </w:r>
      <w:r w:rsidRPr="00CB29A8">
        <w:rPr>
          <w:rFonts w:ascii="Times New Roman" w:hAnsi="Times New Roman" w:cs="Times New Roman"/>
          <w:lang w:val="en-GB"/>
        </w:rPr>
        <w:t>Marcella Distefano</w:t>
      </w:r>
      <w:r>
        <w:rPr>
          <w:rFonts w:ascii="Times New Roman" w:hAnsi="Times New Roman" w:cs="Times New Roman"/>
          <w:lang w:val="en-GB"/>
        </w:rPr>
        <w:t>, Marco Roscini, and  Yoshifumi Tanaka for having discussed with me the subject of this paper. The usual disclaimers apply</w:t>
      </w:r>
      <w:r w:rsidRPr="00CB29A8">
        <w:rPr>
          <w:rFonts w:ascii="Times New Roman" w:hAnsi="Times New Roman" w:cs="Times New Roman"/>
          <w:lang w:val="en-GB"/>
        </w:rPr>
        <w:t xml:space="preserve">. Websites cited were last accessed on </w:t>
      </w:r>
      <w:r>
        <w:rPr>
          <w:rFonts w:ascii="Times New Roman" w:hAnsi="Times New Roman" w:cs="Times New Roman"/>
          <w:lang w:val="en-GB"/>
        </w:rPr>
        <w:t>26</w:t>
      </w:r>
      <w:r w:rsidRPr="00CB29A8">
        <w:rPr>
          <w:rFonts w:ascii="Times New Roman" w:hAnsi="Times New Roman" w:cs="Times New Roman"/>
          <w:lang w:val="en-GB"/>
        </w:rPr>
        <w:t xml:space="preserve"> March 2016, when the paper was completed. All the official documents of the International Criminal Court are available at www.icc-cpi.int.</w:t>
      </w:r>
    </w:p>
  </w:footnote>
  <w:footnote w:id="3">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lang w:val="en-GB"/>
        </w:rPr>
        <w:footnoteRef/>
      </w:r>
      <w:r w:rsidRPr="003F513B">
        <w:rPr>
          <w:rFonts w:ascii="Times New Roman" w:hAnsi="Times New Roman" w:cs="Times New Roman"/>
          <w:lang w:val="en-US"/>
        </w:rPr>
        <w:t xml:space="preserve"> Bernardus Cluniacensis, </w:t>
      </w:r>
      <w:r w:rsidRPr="003F513B">
        <w:rPr>
          <w:rFonts w:ascii="Times New Roman" w:hAnsi="Times New Roman" w:cs="Times New Roman"/>
          <w:i/>
          <w:lang w:val="en-US"/>
        </w:rPr>
        <w:t>De Contemptu Mundi</w:t>
      </w:r>
      <w:r w:rsidRPr="003F513B">
        <w:rPr>
          <w:rFonts w:ascii="Times New Roman" w:hAnsi="Times New Roman" w:cs="Times New Roman"/>
          <w:lang w:val="en-US"/>
        </w:rPr>
        <w:t xml:space="preserve">, I, at 952, la.wikisource.org/wiki/De_contemptu_mundi. </w:t>
      </w:r>
      <w:r w:rsidRPr="00CB29A8">
        <w:rPr>
          <w:rFonts w:ascii="Times New Roman" w:hAnsi="Times New Roman" w:cs="Times New Roman"/>
          <w:lang w:val="en-US"/>
        </w:rPr>
        <w:t xml:space="preserve">This author discovered this quote thanks to the novel by U. Eco, </w:t>
      </w:r>
      <w:r w:rsidRPr="00CB29A8">
        <w:rPr>
          <w:rFonts w:ascii="Times New Roman" w:hAnsi="Times New Roman" w:cs="Times New Roman"/>
          <w:i/>
          <w:lang w:val="en-US"/>
        </w:rPr>
        <w:t>Il nome della rosa</w:t>
      </w:r>
      <w:r w:rsidRPr="00CB29A8">
        <w:rPr>
          <w:rFonts w:ascii="Times New Roman" w:hAnsi="Times New Roman" w:cs="Times New Roman"/>
          <w:lang w:val="en-US"/>
        </w:rPr>
        <w:t xml:space="preserve"> (Bompiani, 1980).  Professor Eco passed away very recently, on 19 February 2016; this essay is dedicated to his memory.</w:t>
      </w:r>
    </w:p>
  </w:footnote>
  <w:footnote w:id="4">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See A. Sanger, ‘The Contemporary Law of Blockade and the Gaza Freedom Flotilla’, 13 </w:t>
      </w:r>
      <w:r w:rsidRPr="00CB29A8">
        <w:rPr>
          <w:rFonts w:ascii="Times New Roman" w:hAnsi="Times New Roman" w:cs="Times New Roman"/>
          <w:i/>
          <w:lang w:val="en-GB"/>
        </w:rPr>
        <w:t xml:space="preserve">Yearbook of International Humanitarian Law </w:t>
      </w:r>
      <w:r w:rsidRPr="00CB29A8">
        <w:rPr>
          <w:rFonts w:ascii="Times New Roman" w:hAnsi="Times New Roman" w:cs="Times New Roman"/>
          <w:lang w:val="en-GB"/>
        </w:rPr>
        <w:t>(2010) 397; A. Annoni, ‘</w:t>
      </w:r>
      <w:r w:rsidRPr="00CB29A8">
        <w:rPr>
          <w:rFonts w:ascii="Times New Roman" w:hAnsi="Times New Roman" w:cs="Times New Roman"/>
          <w:bCs/>
          <w:lang w:val="en-GB"/>
        </w:rPr>
        <w:t>L’abbordaggio della Gaza Freedom Flotilla alla luce del diritto internazionale</w:t>
      </w:r>
      <w:r w:rsidRPr="00CB29A8">
        <w:rPr>
          <w:rFonts w:ascii="Times New Roman" w:hAnsi="Times New Roman" w:cs="Times New Roman"/>
          <w:lang w:val="en-GB"/>
        </w:rPr>
        <w:t>’, 94</w:t>
      </w:r>
      <w:r w:rsidRPr="00CB29A8">
        <w:rPr>
          <w:rFonts w:ascii="Times New Roman" w:hAnsi="Times New Roman" w:cs="Times New Roman"/>
          <w:i/>
          <w:lang w:val="en-GB"/>
        </w:rPr>
        <w:t xml:space="preserve"> Rivista di diritto internazionale (RDI) </w:t>
      </w:r>
      <w:r w:rsidRPr="00CB29A8">
        <w:rPr>
          <w:rFonts w:ascii="Times New Roman" w:hAnsi="Times New Roman" w:cs="Times New Roman"/>
          <w:lang w:val="en-GB"/>
        </w:rPr>
        <w:t xml:space="preserve">(2010) 1203; R. Buchan, ‘The International Law of Naval Blockade and Israel’s Interception of the </w:t>
      </w:r>
      <w:r w:rsidRPr="00CB29A8">
        <w:rPr>
          <w:rFonts w:ascii="Times New Roman" w:hAnsi="Times New Roman" w:cs="Times New Roman"/>
          <w:i/>
          <w:lang w:val="en-GB"/>
        </w:rPr>
        <w:t>Mavi Marmara’</w:t>
      </w:r>
      <w:r w:rsidRPr="00CB29A8">
        <w:rPr>
          <w:rFonts w:ascii="Times New Roman" w:hAnsi="Times New Roman" w:cs="Times New Roman"/>
          <w:lang w:val="en-GB"/>
        </w:rPr>
        <w:t xml:space="preserve">, 58 </w:t>
      </w:r>
      <w:r w:rsidRPr="00CB29A8">
        <w:rPr>
          <w:rFonts w:ascii="Times New Roman" w:hAnsi="Times New Roman" w:cs="Times New Roman"/>
          <w:i/>
          <w:lang w:val="en-GB"/>
        </w:rPr>
        <w:t>Netherlands International Law Review</w:t>
      </w:r>
      <w:r w:rsidRPr="00CB29A8">
        <w:rPr>
          <w:rFonts w:ascii="Times New Roman" w:hAnsi="Times New Roman" w:cs="Times New Roman"/>
          <w:lang w:val="en-GB"/>
        </w:rPr>
        <w:t xml:space="preserve"> (2011) 209; D. Guilfoyle, ‘The </w:t>
      </w:r>
      <w:r w:rsidRPr="00CB29A8">
        <w:rPr>
          <w:rFonts w:ascii="Times New Roman" w:hAnsi="Times New Roman" w:cs="Times New Roman"/>
          <w:i/>
          <w:lang w:val="en-GB"/>
        </w:rPr>
        <w:t xml:space="preserve">Mavi Marmara </w:t>
      </w:r>
      <w:r w:rsidRPr="00CB29A8">
        <w:rPr>
          <w:rFonts w:ascii="Times New Roman" w:hAnsi="Times New Roman" w:cs="Times New Roman"/>
          <w:lang w:val="en-GB"/>
        </w:rPr>
        <w:t xml:space="preserve">Incident and Blockade in Armed Conflict’, 81 </w:t>
      </w:r>
      <w:r w:rsidRPr="00CB29A8">
        <w:rPr>
          <w:rFonts w:ascii="Times New Roman" w:hAnsi="Times New Roman" w:cs="Times New Roman"/>
          <w:i/>
          <w:lang w:val="en-GB"/>
        </w:rPr>
        <w:t xml:space="preserve">The British Yearbook of International Law </w:t>
      </w:r>
      <w:r w:rsidRPr="00CB29A8">
        <w:rPr>
          <w:rFonts w:ascii="Times New Roman" w:hAnsi="Times New Roman" w:cs="Times New Roman"/>
          <w:lang w:val="en-GB"/>
        </w:rPr>
        <w:t xml:space="preserve">(2011) 171. </w:t>
      </w:r>
    </w:p>
  </w:footnote>
  <w:footnote w:id="5">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S/PRST/2014/13 of 28 July 2014. </w:t>
      </w:r>
    </w:p>
  </w:footnote>
  <w:footnote w:id="6">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UNHRC Resolution S-21/1 of 21 July 2014.  </w:t>
      </w:r>
    </w:p>
  </w:footnote>
  <w:footnote w:id="7">
    <w:p w:rsidR="00C81D41" w:rsidRPr="00CB29A8" w:rsidRDefault="00C81D41" w:rsidP="00CB29A8">
      <w:pPr>
        <w:pStyle w:val="Testonotaapidipagina"/>
        <w:jc w:val="both"/>
        <w:rPr>
          <w:rFonts w:ascii="Times New Roman" w:hAnsi="Times New Roman" w:cs="Times New Roman"/>
          <w:lang w:val="fr-FR"/>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Respectively, UNHRC, Report of the International Fact-Finding Mission to Investigate Violations of International Law, Including International Humanitarian and Human Rights Law, Resulting from the Attacks on the Flotilla of Ships Carrying Humanitari</w:t>
      </w:r>
      <w:r w:rsidR="00764FF8">
        <w:rPr>
          <w:rFonts w:ascii="Times New Roman" w:hAnsi="Times New Roman" w:cs="Times New Roman"/>
          <w:lang w:val="en-GB"/>
        </w:rPr>
        <w:t>an Assistance, 27 September 2010</w:t>
      </w:r>
      <w:r w:rsidRPr="00CB29A8">
        <w:rPr>
          <w:rFonts w:ascii="Times New Roman" w:hAnsi="Times New Roman" w:cs="Times New Roman"/>
          <w:lang w:val="en-GB"/>
        </w:rPr>
        <w:t>; The Public Commission to Examine the Maritime Incident of 31 May 2010, The Turkel Commission Report, 23 January 2011, www.jewishvirtuallibrary.org/jsource/Society_&amp;_Culture/TurkelCommission.pdf; Turkish National Commission of Inquiry, Report on the Israeli Attack on the Humanitarian Aid Convoy to Gaza on 31 May 2010, 11 February 2011, www.mfa.gov.tr/data/Turkish%20Report%20Final%20-%20UN%20Copy.pdf; Report of the Secretary-General’s Panel of Inquiry on the 31 May 2010 Flotilla Incident, July 2011, www.un.org/News/dh/infocus/middle_east</w:t>
      </w:r>
      <w:r>
        <w:rPr>
          <w:rFonts w:ascii="Times New Roman" w:hAnsi="Times New Roman" w:cs="Times New Roman"/>
          <w:lang w:val="en-GB"/>
        </w:rPr>
        <w:t xml:space="preserve">/Gaza_Flotilla_Panel_Report.pdf </w:t>
      </w:r>
      <w:r w:rsidRPr="00CB29A8">
        <w:rPr>
          <w:rFonts w:ascii="Times New Roman" w:hAnsi="Times New Roman" w:cs="Times New Roman"/>
          <w:lang w:val="en-GB"/>
        </w:rPr>
        <w:t xml:space="preserve">(hereinafter: ‘Palmer-Uribe Panel’). </w:t>
      </w:r>
      <w:r w:rsidRPr="00CB29A8">
        <w:rPr>
          <w:rFonts w:ascii="Times New Roman" w:hAnsi="Times New Roman" w:cs="Times New Roman"/>
          <w:lang w:val="fr-FR"/>
        </w:rPr>
        <w:t xml:space="preserve">For an evaluation of their findings, see V. Koutroulis, ‘Appréciation de l’Application de Certaines Règles du Droit International Humanitaire dans les Rapports Portant sur l’Interception de la Flottille Naviguant vers Gaza’, 45(1) </w:t>
      </w:r>
      <w:r w:rsidRPr="00CB29A8">
        <w:rPr>
          <w:rFonts w:ascii="Times New Roman" w:hAnsi="Times New Roman" w:cs="Times New Roman"/>
          <w:i/>
          <w:lang w:val="fr-FR"/>
        </w:rPr>
        <w:t>Revue belge de droit international</w:t>
      </w:r>
      <w:r w:rsidRPr="00CB29A8">
        <w:rPr>
          <w:rFonts w:ascii="Times New Roman" w:hAnsi="Times New Roman" w:cs="Times New Roman"/>
          <w:lang w:val="fr-FR"/>
        </w:rPr>
        <w:t xml:space="preserve"> (2012) 90.</w:t>
      </w:r>
    </w:p>
  </w:footnote>
  <w:footnote w:id="8">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As of January 2015, Palestine is party to the ICC Statute (UN Secretary-General, Depositary Notification: Rome Statute of the ICC, Palestine accession, 6 January 2015, treaties.un.org/doc/Publication/CN/2015/CN.13.2015-Eng.pdf) and has issued a declaration of acceptance of ICC jurisdiction over the crimes committed during the 2014 Gaza war  (OTP, </w:t>
      </w:r>
      <w:r w:rsidRPr="00CB29A8">
        <w:rPr>
          <w:rFonts w:ascii="Times New Roman" w:hAnsi="Times New Roman" w:cs="Times New Roman"/>
          <w:bCs/>
          <w:lang w:val="en-GB"/>
        </w:rPr>
        <w:t>Palestine declares acceptance of ICC jurisdiction since 13 June 2014, 5 January 2015)</w:t>
      </w:r>
      <w:r w:rsidRPr="00CB29A8">
        <w:rPr>
          <w:rFonts w:ascii="Times New Roman" w:hAnsi="Times New Roman" w:cs="Times New Roman"/>
          <w:lang w:val="en-GB"/>
        </w:rPr>
        <w:t xml:space="preserve">. On the relationship between the Israeli-Palestinian conflict and the ICC, see generally, D.L. Bosco, ‘Palestine in the Hague: Justice, Geopolitics, and the International Criminal Court’, 22 </w:t>
      </w:r>
      <w:r w:rsidRPr="00CB29A8">
        <w:rPr>
          <w:rFonts w:ascii="Times New Roman" w:hAnsi="Times New Roman" w:cs="Times New Roman"/>
          <w:i/>
          <w:lang w:val="en-GB"/>
        </w:rPr>
        <w:t>Global Governance</w:t>
      </w:r>
      <w:r w:rsidRPr="00CB29A8">
        <w:rPr>
          <w:rFonts w:ascii="Times New Roman" w:hAnsi="Times New Roman" w:cs="Times New Roman"/>
          <w:lang w:val="en-GB"/>
        </w:rPr>
        <w:t xml:space="preserve"> (2016) 155; M. Longobardo, ‘Some Developments in the Prosecution of International Crimes Committed in Palestine: Any Real News?’, 35 </w:t>
      </w:r>
      <w:r w:rsidRPr="00CB29A8">
        <w:rPr>
          <w:rFonts w:ascii="Times New Roman" w:hAnsi="Times New Roman" w:cs="Times New Roman"/>
          <w:i/>
          <w:lang w:val="en-GB"/>
        </w:rPr>
        <w:t>Polish Yearbook of International Law</w:t>
      </w:r>
      <w:r w:rsidRPr="00CB29A8">
        <w:rPr>
          <w:rFonts w:ascii="Times New Roman" w:hAnsi="Times New Roman" w:cs="Times New Roman"/>
          <w:lang w:val="en-GB"/>
        </w:rPr>
        <w:t xml:space="preserve"> (2015), forthcoming.</w:t>
      </w:r>
    </w:p>
  </w:footnote>
  <w:footnote w:id="9">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Union of the Comoros, Referral of the Union of Comoros with respect to the 31 May 2010 Israeli raid on the Humanitarian Aid Flotilla bound for Gaza, The Hague, 14 May 2013.</w:t>
      </w:r>
    </w:p>
  </w:footnote>
  <w:footnote w:id="10">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OTP, </w:t>
      </w:r>
      <w:r w:rsidRPr="00CB29A8">
        <w:rPr>
          <w:rFonts w:ascii="Times New Roman" w:hAnsi="Times New Roman" w:cs="Times New Roman"/>
          <w:bCs/>
          <w:lang w:val="en-GB"/>
        </w:rPr>
        <w:t xml:space="preserve">ICC Prosecutor receives referral by the authorities of the Union of the Comoros in relation to the events of May 2010 on the vessel </w:t>
      </w:r>
      <w:r w:rsidRPr="00CB29A8">
        <w:rPr>
          <w:rFonts w:ascii="Times New Roman" w:hAnsi="Times New Roman" w:cs="Times New Roman"/>
          <w:bCs/>
          <w:i/>
          <w:lang w:val="en-GB"/>
        </w:rPr>
        <w:t>Mavi Marmara</w:t>
      </w:r>
      <w:r w:rsidRPr="00CB29A8">
        <w:rPr>
          <w:rFonts w:ascii="Times New Roman" w:hAnsi="Times New Roman" w:cs="Times New Roman"/>
          <w:bCs/>
          <w:lang w:val="en-GB"/>
        </w:rPr>
        <w:t>, 14 May 2013.</w:t>
      </w:r>
    </w:p>
  </w:footnote>
  <w:footnote w:id="11">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ICC-01/13-6-AnxA, Situation on Registered Vessels of Comoros, Greece and Cambodia, Article 53(1) Report, 6 November 2014 (hereinafter: ‘Decision Not to Investigate’), §§ 61, 72</w:t>
      </w:r>
      <w:r>
        <w:rPr>
          <w:rFonts w:ascii="Times New Roman" w:hAnsi="Times New Roman" w:cs="Times New Roman"/>
          <w:lang w:val="en-GB"/>
        </w:rPr>
        <w:t>,</w:t>
      </w:r>
      <w:r w:rsidRPr="00CB29A8">
        <w:rPr>
          <w:rFonts w:ascii="Times New Roman" w:hAnsi="Times New Roman" w:cs="Times New Roman"/>
          <w:lang w:val="en-GB"/>
        </w:rPr>
        <w:t xml:space="preserve"> 77.</w:t>
      </w:r>
    </w:p>
  </w:footnote>
  <w:footnote w:id="12">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 96. The OTP reached this conclusion conditionally, as it turned on the legality of the blockade itself, which it did not find necessary to decide.</w:t>
      </w:r>
    </w:p>
  </w:footnote>
  <w:footnote w:id="13">
    <w:p w:rsidR="00C81D41" w:rsidRPr="00CB29A8" w:rsidRDefault="00C81D41" w:rsidP="003671C9">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ICC-01/13-3-Red, Situation on Registered Vessels of the Union of the Comoros, The Hellenic Republic of Greece and the Kingdom of Cambodia, Application for Review pursuant to Article 53(3)(a) of the Prosecutor’s Decision of 6 November 2014 not to initiate an investigation in the Situation, 29 January 2015.</w:t>
      </w:r>
    </w:p>
  </w:footnote>
  <w:footnote w:id="14">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ICC-01/13-34, Pre-Trial Chamber I, Situation on Registered Vessels of the Union of the Comoros, The Hellenic Republic of Greece and the Kingdom of Cambodia, Decision on the request of the Union of the Comoros to review the Prosecutor’s decision not to initiate an investigation, 16 July 2015 (hereinafter: ‘PTC I Decision’).</w:t>
      </w:r>
    </w:p>
  </w:footnote>
  <w:footnote w:id="15">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ICC-01/13-35, Situation on Registered Vessels of the Union of the Comoros, The Hellenic Republic of Greece and the Kingdom of Cambodia, Notice of Appeal of “Decision on the request of the Union of the Comoros to review the Prosecutor’s decision not to initiate an investigation”, 27 July 2015 (hereinafter: ‘Appeal’). </w:t>
      </w:r>
    </w:p>
  </w:footnote>
  <w:footnote w:id="16">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ICC-01/13-51, Situation on Registered Vessels of the Union of the Comoros, The Hellenic Republic of Greece and the Kingdom of Cambodia, Decision on the admissibility of the Prosecutor’s Appeal against the “Decision on the request of the Union of the Comoros to review the Prosecutor’s decision not to initiate an investigation”, 6 November 2015 (hereinafter: ‘Decision on Admissibility’). </w:t>
      </w:r>
    </w:p>
  </w:footnote>
  <w:footnote w:id="17">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bCs/>
          <w:lang w:val="en-GB"/>
        </w:rPr>
        <w:t xml:space="preserve">Decision Not to Investigate, </w:t>
      </w:r>
      <w:r w:rsidRPr="00CB29A8">
        <w:rPr>
          <w:rFonts w:ascii="Times New Roman" w:hAnsi="Times New Roman" w:cs="Times New Roman"/>
          <w:lang w:val="en-GB"/>
        </w:rPr>
        <w:t>§§ 133-147.</w:t>
      </w:r>
    </w:p>
  </w:footnote>
  <w:footnote w:id="18">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§139.</w:t>
      </w:r>
    </w:p>
  </w:footnote>
  <w:footnote w:id="19">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 136.</w:t>
      </w:r>
    </w:p>
  </w:footnote>
  <w:footnote w:id="20">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 137 (emphasis added).</w:t>
      </w:r>
    </w:p>
  </w:footnote>
  <w:footnote w:id="21">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i/>
          <w:lang w:val="en-US"/>
        </w:rPr>
        <w:t>Ibid.</w:t>
      </w:r>
    </w:p>
  </w:footnote>
  <w:footnote w:id="22">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w:t>
      </w:r>
    </w:p>
  </w:footnote>
  <w:footnote w:id="23">
    <w:p w:rsidR="00C81D41" w:rsidRPr="00D15604" w:rsidRDefault="00C81D41" w:rsidP="00D15604">
      <w:pPr>
        <w:pStyle w:val="Testonotaapidipagina"/>
        <w:jc w:val="both"/>
        <w:rPr>
          <w:rFonts w:ascii="Times New Roman" w:hAnsi="Times New Roman" w:cs="Times New Roman"/>
          <w:lang w:val="en-US"/>
        </w:rPr>
      </w:pPr>
      <w:r w:rsidRPr="00D15604">
        <w:rPr>
          <w:rStyle w:val="Rimandonotaapidipagina"/>
          <w:rFonts w:ascii="Times New Roman" w:hAnsi="Times New Roman" w:cs="Times New Roman"/>
        </w:rPr>
        <w:footnoteRef/>
      </w:r>
      <w:r w:rsidRPr="00D15604">
        <w:rPr>
          <w:rFonts w:ascii="Times New Roman" w:hAnsi="Times New Roman" w:cs="Times New Roman"/>
          <w:lang w:val="en-US"/>
        </w:rPr>
        <w:t xml:space="preserve"> </w:t>
      </w:r>
      <w:r w:rsidRPr="00D15604">
        <w:rPr>
          <w:rFonts w:ascii="Times New Roman" w:hAnsi="Times New Roman" w:cs="Times New Roman"/>
          <w:i/>
          <w:lang w:val="en-GB"/>
        </w:rPr>
        <w:t>Ibid.</w:t>
      </w:r>
      <w:r w:rsidRPr="00D15604">
        <w:rPr>
          <w:rFonts w:ascii="Times New Roman" w:hAnsi="Times New Roman" w:cs="Times New Roman"/>
          <w:lang w:val="en-GB"/>
        </w:rPr>
        <w:t xml:space="preserve">, §§ 142-143. In the situation of the </w:t>
      </w:r>
      <w:r w:rsidRPr="00D15604">
        <w:rPr>
          <w:rFonts w:ascii="Times New Roman" w:hAnsi="Times New Roman" w:cs="Times New Roman"/>
          <w:i/>
          <w:lang w:val="en-GB"/>
        </w:rPr>
        <w:t>Eleftheri Mesogios</w:t>
      </w:r>
      <w:r w:rsidRPr="00D15604">
        <w:rPr>
          <w:rFonts w:ascii="Times New Roman" w:hAnsi="Times New Roman" w:cs="Times New Roman"/>
          <w:lang w:val="en-GB"/>
        </w:rPr>
        <w:t xml:space="preserve">, the OTP affirmed that the only possible crime that potentially occurred on board was the unlawful attack on civilian objects, but the OTP did not determined that the attack on the vessels was </w:t>
      </w:r>
      <w:r w:rsidRPr="00D15604">
        <w:rPr>
          <w:rFonts w:ascii="Times New Roman" w:hAnsi="Times New Roman" w:cs="Times New Roman"/>
          <w:i/>
          <w:lang w:val="en-GB"/>
        </w:rPr>
        <w:t>per se</w:t>
      </w:r>
      <w:r w:rsidRPr="00D15604">
        <w:rPr>
          <w:rFonts w:ascii="Times New Roman" w:hAnsi="Times New Roman" w:cs="Times New Roman"/>
          <w:lang w:val="en-GB"/>
        </w:rPr>
        <w:t xml:space="preserve"> unlawful due to the uncertainty regarding the lawfulness of the entire blockade. Moreover, </w:t>
      </w:r>
      <w:r w:rsidRPr="00D15604">
        <w:rPr>
          <w:rFonts w:ascii="Times New Roman" w:hAnsi="Times New Roman" w:cs="Times New Roman"/>
          <w:lang w:val="en-US"/>
        </w:rPr>
        <w:t xml:space="preserve">no possible crimes were found to have occurred aboard the </w:t>
      </w:r>
      <w:r w:rsidRPr="00D15604">
        <w:rPr>
          <w:rFonts w:ascii="Times New Roman" w:hAnsi="Times New Roman" w:cs="Times New Roman"/>
          <w:i/>
          <w:iCs/>
          <w:lang w:val="en-US"/>
        </w:rPr>
        <w:t>Rachael Corrie</w:t>
      </w:r>
      <w:r w:rsidRPr="00D15604">
        <w:rPr>
          <w:rFonts w:ascii="Times New Roman" w:hAnsi="Times New Roman" w:cs="Times New Roman"/>
          <w:lang w:val="en-US"/>
        </w:rPr>
        <w:t>.</w:t>
      </w:r>
    </w:p>
  </w:footnote>
  <w:footnote w:id="24">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 138.</w:t>
      </w:r>
    </w:p>
  </w:footnote>
  <w:footnote w:id="25">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 144.</w:t>
      </w:r>
    </w:p>
  </w:footnote>
  <w:footnote w:id="26">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§145.</w:t>
      </w:r>
    </w:p>
  </w:footnote>
  <w:footnote w:id="27">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 139.</w:t>
      </w:r>
    </w:p>
  </w:footnote>
  <w:footnote w:id="28">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 140.</w:t>
      </w:r>
    </w:p>
  </w:footnote>
  <w:footnote w:id="29">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 141.</w:t>
      </w:r>
    </w:p>
  </w:footnote>
  <w:footnote w:id="30">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See, e.g., J.J. Piernas López, ‘Estudio sobre la pr</w:t>
      </w:r>
      <w:r w:rsidRPr="00CB29A8">
        <w:rPr>
          <w:rStyle w:val="Enfasicorsivo"/>
          <w:rFonts w:ascii="Times New Roman" w:hAnsi="Times New Roman" w:cs="Times New Roman"/>
          <w:i w:val="0"/>
          <w:lang w:val="en-GB"/>
        </w:rPr>
        <w:t>á</w:t>
      </w:r>
      <w:r w:rsidRPr="00CB29A8">
        <w:rPr>
          <w:rFonts w:ascii="Times New Roman" w:hAnsi="Times New Roman" w:cs="Times New Roman"/>
          <w:lang w:val="en-GB"/>
        </w:rPr>
        <w:t>ctica de la Corte Penal Internacional en materia de Investigaciones preliminares a la luz de la reciente remisi</w:t>
      </w:r>
      <w:r w:rsidRPr="00CB29A8">
        <w:rPr>
          <w:rStyle w:val="Enfasicorsivo"/>
          <w:rFonts w:ascii="Times New Roman" w:hAnsi="Times New Roman" w:cs="Times New Roman"/>
          <w:i w:val="0"/>
          <w:lang w:val="en-GB"/>
        </w:rPr>
        <w:t>ó</w:t>
      </w:r>
      <w:r w:rsidRPr="00CB29A8">
        <w:rPr>
          <w:rFonts w:ascii="Times New Roman" w:hAnsi="Times New Roman" w:cs="Times New Roman"/>
          <w:lang w:val="en-GB"/>
        </w:rPr>
        <w:t>n de la Uni</w:t>
      </w:r>
      <w:r w:rsidRPr="00CB29A8">
        <w:rPr>
          <w:rStyle w:val="Enfasicorsivo"/>
          <w:rFonts w:ascii="Times New Roman" w:hAnsi="Times New Roman" w:cs="Times New Roman"/>
          <w:i w:val="0"/>
          <w:lang w:val="en-GB"/>
        </w:rPr>
        <w:t>ó</w:t>
      </w:r>
      <w:r w:rsidRPr="00CB29A8">
        <w:rPr>
          <w:rFonts w:ascii="Times New Roman" w:hAnsi="Times New Roman" w:cs="Times New Roman"/>
          <w:lang w:val="en-GB"/>
        </w:rPr>
        <w:t xml:space="preserve">n de Comores’, 29 </w:t>
      </w:r>
      <w:r w:rsidRPr="00CB29A8">
        <w:rPr>
          <w:rFonts w:ascii="Times New Roman" w:hAnsi="Times New Roman" w:cs="Times New Roman"/>
          <w:i/>
          <w:lang w:val="en-GB"/>
        </w:rPr>
        <w:t>Anuario Español de Derecho Internacional</w:t>
      </w:r>
      <w:r w:rsidRPr="00CB29A8">
        <w:rPr>
          <w:rFonts w:ascii="Times New Roman" w:hAnsi="Times New Roman" w:cs="Times New Roman"/>
          <w:lang w:val="en-GB"/>
        </w:rPr>
        <w:t xml:space="preserve"> (2013) 327; R. Buchan, ‘The </w:t>
      </w:r>
      <w:r w:rsidRPr="00CB29A8">
        <w:rPr>
          <w:rFonts w:ascii="Times New Roman" w:hAnsi="Times New Roman" w:cs="Times New Roman"/>
          <w:i/>
          <w:lang w:val="en-GB"/>
        </w:rPr>
        <w:t>Mavi Marmara</w:t>
      </w:r>
      <w:r w:rsidRPr="00CB29A8">
        <w:rPr>
          <w:rFonts w:ascii="Times New Roman" w:hAnsi="Times New Roman" w:cs="Times New Roman"/>
          <w:lang w:val="en-GB"/>
        </w:rPr>
        <w:t xml:space="preserve"> Incident and the International Criminal Court’, 25 </w:t>
      </w:r>
      <w:r w:rsidRPr="00CB29A8">
        <w:rPr>
          <w:rFonts w:ascii="Times New Roman" w:hAnsi="Times New Roman" w:cs="Times New Roman"/>
          <w:i/>
          <w:lang w:val="en-GB"/>
        </w:rPr>
        <w:t>Criminal Law Forum (CLF)</w:t>
      </w:r>
      <w:r w:rsidRPr="00CB29A8">
        <w:rPr>
          <w:rFonts w:ascii="Times New Roman" w:hAnsi="Times New Roman" w:cs="Times New Roman"/>
          <w:lang w:val="en-GB"/>
        </w:rPr>
        <w:t xml:space="preserve"> (2014) 465.</w:t>
      </w:r>
    </w:p>
  </w:footnote>
  <w:footnote w:id="31">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bCs/>
          <w:lang w:val="en-GB"/>
        </w:rPr>
        <w:t xml:space="preserve">PTC I Decision, </w:t>
      </w:r>
      <w:r w:rsidRPr="00CB29A8">
        <w:rPr>
          <w:rFonts w:ascii="Times New Roman" w:hAnsi="Times New Roman" w:cs="Times New Roman"/>
          <w:lang w:val="en-GB"/>
        </w:rPr>
        <w:t>§ 3.</w:t>
      </w:r>
    </w:p>
  </w:footnote>
  <w:footnote w:id="32">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 16-19.</w:t>
      </w:r>
    </w:p>
  </w:footnote>
  <w:footnote w:id="33">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 50.</w:t>
      </w:r>
    </w:p>
  </w:footnote>
  <w:footnote w:id="34">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xml:space="preserve">., §§ 23-24. The OTP acknowledged the necessity to focus on the prosecution of those who bear the greatest responsibility for alleged crimes in the Paper on Some Policy Issues before the Office of the Prosecutor, September 2003, at 7. On this topic, see M. O’Brien, ‘Prosecutorial Discretion as an Obstacle to Prosecution of United Nations Peacekeepers by the International Criminal Court: The Big Fish/Small Fish Debate and the Gravity Threshold’, 10 </w:t>
      </w:r>
      <w:r w:rsidRPr="00CB29A8">
        <w:rPr>
          <w:rFonts w:ascii="Times New Roman" w:hAnsi="Times New Roman" w:cs="Times New Roman"/>
          <w:i/>
          <w:lang w:val="en-GB"/>
        </w:rPr>
        <w:t>Journal of International Criminal Justice</w:t>
      </w:r>
      <w:r w:rsidRPr="00CB29A8">
        <w:rPr>
          <w:rFonts w:ascii="Times New Roman" w:hAnsi="Times New Roman" w:cs="Times New Roman"/>
          <w:lang w:val="en-GB"/>
        </w:rPr>
        <w:t xml:space="preserve"> </w:t>
      </w:r>
      <w:r w:rsidRPr="00CB29A8">
        <w:rPr>
          <w:rFonts w:ascii="Times New Roman" w:hAnsi="Times New Roman" w:cs="Times New Roman"/>
          <w:i/>
          <w:lang w:val="en-GB"/>
        </w:rPr>
        <w:t>(JICJ)</w:t>
      </w:r>
      <w:r w:rsidRPr="00CB29A8">
        <w:rPr>
          <w:rFonts w:ascii="Times New Roman" w:hAnsi="Times New Roman" w:cs="Times New Roman"/>
          <w:lang w:val="en-GB"/>
        </w:rPr>
        <w:t xml:space="preserve"> (2012) 525.</w:t>
      </w:r>
    </w:p>
  </w:footnote>
  <w:footnote w:id="35">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See </w:t>
      </w:r>
      <w:r w:rsidRPr="00CB29A8">
        <w:rPr>
          <w:rFonts w:ascii="Times New Roman" w:hAnsi="Times New Roman" w:cs="Times New Roman"/>
          <w:lang w:val="en-GB"/>
        </w:rPr>
        <w:t xml:space="preserve">ICC-01/13-14-Red, Prosecution Response to the Application for Review of its Determination under Article 53(1)(b) of the Rome Statute, 30 March 2015, § 60 (hereinafter: ‘Response to the Application for Review’); </w:t>
      </w:r>
      <w:r w:rsidRPr="00CB29A8">
        <w:rPr>
          <w:rFonts w:ascii="Times New Roman" w:hAnsi="Times New Roman" w:cs="Times New Roman"/>
          <w:lang w:val="en-US"/>
        </w:rPr>
        <w:t xml:space="preserve">PTC I Decision, § 23. For some remarks on this issue, see </w:t>
      </w:r>
      <w:r w:rsidRPr="00CB29A8">
        <w:rPr>
          <w:rFonts w:ascii="Times New Roman" w:hAnsi="Times New Roman" w:cs="Times New Roman"/>
          <w:lang w:val="en-GB"/>
        </w:rPr>
        <w:t>K.J. Heller, ‘</w:t>
      </w:r>
      <w:r w:rsidRPr="00CB29A8">
        <w:rPr>
          <w:rFonts w:ascii="Times New Roman" w:hAnsi="Times New Roman" w:cs="Times New Roman"/>
          <w:bCs/>
          <w:lang w:val="en-GB"/>
        </w:rPr>
        <w:t>The Pre-Trial Chamber’s Dangerous Comoros Review Decision</w:t>
      </w:r>
      <w:r w:rsidRPr="00CB29A8">
        <w:rPr>
          <w:rFonts w:ascii="Times New Roman" w:hAnsi="Times New Roman" w:cs="Times New Roman"/>
          <w:lang w:val="en-GB"/>
        </w:rPr>
        <w:t xml:space="preserve">’, </w:t>
      </w:r>
      <w:r w:rsidRPr="00CB29A8">
        <w:rPr>
          <w:rFonts w:ascii="Times New Roman" w:hAnsi="Times New Roman" w:cs="Times New Roman"/>
          <w:i/>
          <w:lang w:val="en-GB"/>
        </w:rPr>
        <w:t>Opinio Juris</w:t>
      </w:r>
      <w:r w:rsidRPr="00CB29A8">
        <w:rPr>
          <w:rFonts w:ascii="Times New Roman" w:hAnsi="Times New Roman" w:cs="Times New Roman"/>
          <w:lang w:val="en-GB"/>
        </w:rPr>
        <w:t>, 17 July 2015, opiniojuris.org/2015/07/17/the-pre-trial-chambers-problemat</w:t>
      </w:r>
      <w:r>
        <w:rPr>
          <w:rFonts w:ascii="Times New Roman" w:hAnsi="Times New Roman" w:cs="Times New Roman"/>
          <w:lang w:val="en-GB"/>
        </w:rPr>
        <w:t>ic-comoros-review-decision/; A.</w:t>
      </w:r>
      <w:r w:rsidRPr="00CB29A8">
        <w:rPr>
          <w:rFonts w:ascii="Times New Roman" w:hAnsi="Times New Roman" w:cs="Times New Roman"/>
          <w:lang w:val="en-GB"/>
        </w:rPr>
        <w:t>S. Galand, ‘</w:t>
      </w:r>
      <w:r w:rsidRPr="00CB29A8">
        <w:rPr>
          <w:rStyle w:val="current"/>
          <w:rFonts w:ascii="Times New Roman" w:hAnsi="Times New Roman" w:cs="Times New Roman"/>
          <w:lang w:val="en-US"/>
        </w:rPr>
        <w:t>The Situation Concerning the Mavi Marmara at the ICC: What Might the Next Move of the Prosecutor Be?</w:t>
      </w:r>
      <w:r w:rsidRPr="00CB29A8">
        <w:rPr>
          <w:rFonts w:ascii="Times New Roman" w:hAnsi="Times New Roman" w:cs="Times New Roman"/>
          <w:lang w:val="en-GB"/>
        </w:rPr>
        <w:t xml:space="preserve">’, </w:t>
      </w:r>
      <w:r w:rsidRPr="00CB29A8">
        <w:rPr>
          <w:rFonts w:ascii="Times New Roman" w:hAnsi="Times New Roman" w:cs="Times New Roman"/>
          <w:i/>
          <w:lang w:val="en-GB"/>
        </w:rPr>
        <w:t>EJIL: Talk!</w:t>
      </w:r>
      <w:r w:rsidRPr="00CB29A8">
        <w:rPr>
          <w:rFonts w:ascii="Times New Roman" w:hAnsi="Times New Roman" w:cs="Times New Roman"/>
          <w:lang w:val="en-GB"/>
        </w:rPr>
        <w:t xml:space="preserve">, 22 March 2016, www.ejiltalk.org/the-situation-concerning-the-mavi-marmara-at-the-icc-what-might-be-the-next-move-of-the-prosecutor/. </w:t>
      </w:r>
    </w:p>
  </w:footnote>
  <w:footnote w:id="36">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US"/>
        </w:rPr>
        <w:t xml:space="preserve"> PTC I Decision, § 26.</w:t>
      </w:r>
    </w:p>
  </w:footnote>
  <w:footnote w:id="37">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US"/>
        </w:rPr>
        <w:t xml:space="preserve"> </w:t>
      </w:r>
      <w:r w:rsidRPr="00CB29A8">
        <w:rPr>
          <w:rFonts w:ascii="Times New Roman" w:hAnsi="Times New Roman" w:cs="Times New Roman"/>
          <w:i/>
          <w:lang w:val="en-US"/>
        </w:rPr>
        <w:t>Ibid</w:t>
      </w:r>
      <w:r w:rsidRPr="00CB29A8">
        <w:rPr>
          <w:rFonts w:ascii="Times New Roman" w:hAnsi="Times New Roman" w:cs="Times New Roman"/>
          <w:lang w:val="en-US"/>
        </w:rPr>
        <w:t>., § 30.</w:t>
      </w:r>
    </w:p>
  </w:footnote>
  <w:footnote w:id="38">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US"/>
        </w:rPr>
        <w:t xml:space="preserve"> </w:t>
      </w:r>
      <w:r w:rsidRPr="00CB29A8">
        <w:rPr>
          <w:rFonts w:ascii="Times New Roman" w:hAnsi="Times New Roman" w:cs="Times New Roman"/>
          <w:i/>
          <w:lang w:val="en-US"/>
        </w:rPr>
        <w:t>Ibid</w:t>
      </w:r>
      <w:r w:rsidRPr="00CB29A8">
        <w:rPr>
          <w:rFonts w:ascii="Times New Roman" w:hAnsi="Times New Roman" w:cs="Times New Roman"/>
          <w:lang w:val="en-US"/>
        </w:rPr>
        <w:t>., §§ 31-36.</w:t>
      </w:r>
    </w:p>
  </w:footnote>
  <w:footnote w:id="39">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According to PTC I, ‘it is incorrect for [the OTP] to conclude that systematic abuse of detained passengers … fits into the theory that the identified crimes occurred as individual excesses … . Rather, such systematic abuse reasonably suggests a certain degree of sanctioning of the unlawful conduct on the </w:t>
      </w:r>
      <w:r w:rsidRPr="00CB29A8">
        <w:rPr>
          <w:rFonts w:ascii="Times New Roman" w:hAnsi="Times New Roman" w:cs="Times New Roman"/>
          <w:i/>
          <w:lang w:val="en-US"/>
        </w:rPr>
        <w:t>Mavi Marmara</w:t>
      </w:r>
      <w:r w:rsidRPr="00CB29A8">
        <w:rPr>
          <w:rFonts w:ascii="Times New Roman" w:hAnsi="Times New Roman" w:cs="Times New Roman"/>
          <w:lang w:val="en-US"/>
        </w:rPr>
        <w:t>, at least in the form of tacit acquiescence of the military or other superiors.’ (</w:t>
      </w:r>
      <w:r w:rsidRPr="00CB29A8">
        <w:rPr>
          <w:rFonts w:ascii="Times New Roman" w:hAnsi="Times New Roman" w:cs="Times New Roman"/>
          <w:i/>
          <w:lang w:val="en-US"/>
        </w:rPr>
        <w:t>ibid.</w:t>
      </w:r>
      <w:r w:rsidRPr="00CB29A8">
        <w:rPr>
          <w:rFonts w:ascii="Times New Roman" w:hAnsi="Times New Roman" w:cs="Times New Roman"/>
          <w:lang w:val="en-US"/>
        </w:rPr>
        <w:t>, § 38).</w:t>
      </w:r>
    </w:p>
  </w:footnote>
  <w:footnote w:id="40">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i/>
          <w:lang w:val="en-US"/>
        </w:rPr>
        <w:t>Ibid.</w:t>
      </w:r>
      <w:r w:rsidRPr="00CB29A8">
        <w:rPr>
          <w:rFonts w:ascii="Times New Roman" w:hAnsi="Times New Roman" w:cs="Times New Roman"/>
          <w:lang w:val="en-US"/>
        </w:rPr>
        <w:t>, § 41 (with regard to unnecessarily cruel treatment of passengers).</w:t>
      </w:r>
    </w:p>
  </w:footnote>
  <w:footnote w:id="41">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lang w:val="en-GB"/>
        </w:rPr>
        <w:t>See Heller,</w:t>
      </w:r>
      <w:r>
        <w:rPr>
          <w:rFonts w:ascii="Times New Roman" w:hAnsi="Times New Roman" w:cs="Times New Roman"/>
          <w:lang w:val="en-GB"/>
        </w:rPr>
        <w:t xml:space="preserve"> </w:t>
      </w:r>
      <w:r w:rsidRPr="005D65C3">
        <w:rPr>
          <w:rFonts w:ascii="Times New Roman" w:hAnsi="Times New Roman" w:cs="Times New Roman"/>
          <w:i/>
          <w:lang w:val="en-GB"/>
        </w:rPr>
        <w:t>supra</w:t>
      </w:r>
      <w:r>
        <w:rPr>
          <w:rFonts w:ascii="Times New Roman" w:hAnsi="Times New Roman" w:cs="Times New Roman"/>
          <w:lang w:val="en-GB"/>
        </w:rPr>
        <w:t xml:space="preserve"> note </w:t>
      </w:r>
      <w:r w:rsidRPr="00A629E3">
        <w:rPr>
          <w:rFonts w:ascii="Times New Roman" w:hAnsi="Times New Roman" w:cs="Times New Roman"/>
          <w:lang w:val="en-GB"/>
        </w:rPr>
        <w:t>33</w:t>
      </w:r>
      <w:r w:rsidRPr="00CB29A8">
        <w:rPr>
          <w:rFonts w:ascii="Times New Roman" w:hAnsi="Times New Roman" w:cs="Times New Roman"/>
          <w:lang w:val="en-GB"/>
        </w:rPr>
        <w:t>; Id., ‘</w:t>
      </w:r>
      <w:r w:rsidRPr="00CB29A8">
        <w:rPr>
          <w:rFonts w:ascii="Times New Roman" w:hAnsi="Times New Roman" w:cs="Times New Roman"/>
          <w:bCs/>
          <w:lang w:val="en-GB"/>
        </w:rPr>
        <w:t>The Most Distressing Paragraph in the Comoros Review Decision</w:t>
      </w:r>
      <w:r w:rsidRPr="00CB29A8">
        <w:rPr>
          <w:rFonts w:ascii="Times New Roman" w:hAnsi="Times New Roman" w:cs="Times New Roman"/>
          <w:lang w:val="en-GB"/>
        </w:rPr>
        <w:t xml:space="preserve">’, </w:t>
      </w:r>
      <w:r w:rsidRPr="00CB29A8">
        <w:rPr>
          <w:rFonts w:ascii="Times New Roman" w:hAnsi="Times New Roman" w:cs="Times New Roman"/>
          <w:i/>
          <w:lang w:val="en-GB"/>
        </w:rPr>
        <w:t>Opinio Juris</w:t>
      </w:r>
      <w:r w:rsidRPr="00CB29A8">
        <w:rPr>
          <w:rFonts w:ascii="Times New Roman" w:hAnsi="Times New Roman" w:cs="Times New Roman"/>
          <w:lang w:val="en-GB"/>
        </w:rPr>
        <w:t xml:space="preserve">, 19 July 2015, opiniojuris.org/2015/07/19/the-most-distressing-paragraph-in-the-comoros-review-decision/; A. Whiting, </w:t>
      </w:r>
      <w:r w:rsidRPr="00CB29A8">
        <w:rPr>
          <w:rFonts w:ascii="Times New Roman" w:hAnsi="Times New Roman" w:cs="Times New Roman"/>
          <w:i/>
          <w:lang w:val="en-GB"/>
        </w:rPr>
        <w:t>‘</w:t>
      </w:r>
      <w:r w:rsidRPr="00CB29A8">
        <w:rPr>
          <w:rStyle w:val="Enfasicorsivo"/>
          <w:rFonts w:ascii="Times New Roman" w:hAnsi="Times New Roman" w:cs="Times New Roman"/>
          <w:i w:val="0"/>
          <w:lang w:val="en-GB"/>
        </w:rPr>
        <w:t xml:space="preserve">The ICC Prosecutor Should Reject Judges’ Decision in </w:t>
      </w:r>
      <w:r w:rsidRPr="00CB29A8">
        <w:rPr>
          <w:rStyle w:val="Enfasicorsivo"/>
          <w:rFonts w:ascii="Times New Roman" w:hAnsi="Times New Roman" w:cs="Times New Roman"/>
          <w:lang w:val="en-GB"/>
        </w:rPr>
        <w:t>Mavi Marmara</w:t>
      </w:r>
      <w:r w:rsidRPr="00CB29A8">
        <w:rPr>
          <w:rFonts w:ascii="Times New Roman" w:hAnsi="Times New Roman" w:cs="Times New Roman"/>
          <w:lang w:val="en-GB"/>
        </w:rPr>
        <w:t xml:space="preserve">’, </w:t>
      </w:r>
      <w:r w:rsidRPr="00CB29A8">
        <w:rPr>
          <w:rFonts w:ascii="Times New Roman" w:hAnsi="Times New Roman" w:cs="Times New Roman"/>
          <w:i/>
          <w:lang w:val="en-GB"/>
        </w:rPr>
        <w:t>Just Security</w:t>
      </w:r>
      <w:r w:rsidRPr="00CB29A8">
        <w:rPr>
          <w:rFonts w:ascii="Times New Roman" w:hAnsi="Times New Roman" w:cs="Times New Roman"/>
          <w:lang w:val="en-GB"/>
        </w:rPr>
        <w:t>, 20 July 2015, justsecurity.org/24778/icc-prosecutor-reject-judges-decision-mavi-marmara/.</w:t>
      </w:r>
    </w:p>
  </w:footnote>
  <w:footnote w:id="42">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See PTC I Decision, Dissenting Opinion of Judge Kovács, §</w:t>
      </w:r>
      <w:r w:rsidRPr="00CB29A8">
        <w:rPr>
          <w:rFonts w:ascii="Times New Roman" w:hAnsi="Times New Roman" w:cs="Times New Roman"/>
          <w:lang w:val="en-GB"/>
        </w:rPr>
        <w:t xml:space="preserve">§ 6–13. </w:t>
      </w:r>
      <w:r w:rsidRPr="00CB29A8">
        <w:rPr>
          <w:rFonts w:ascii="Times New Roman" w:hAnsi="Times New Roman" w:cs="Times New Roman"/>
          <w:lang w:val="en-US"/>
        </w:rPr>
        <w:t xml:space="preserve">For a particularly detailed and convincing analysis on this topic, see G. A. Knoops and T. Zwart, ‘The Flotilla Case before the ICC: The Need to Do Justice While Keeping the Heaven Intact’, 15 </w:t>
      </w:r>
      <w:r w:rsidRPr="00CB29A8">
        <w:rPr>
          <w:rFonts w:ascii="Times New Roman" w:hAnsi="Times New Roman" w:cs="Times New Roman"/>
          <w:i/>
          <w:lang w:val="en-US"/>
        </w:rPr>
        <w:t>International Criminal Law Review (ICLR)</w:t>
      </w:r>
      <w:r w:rsidRPr="00CB29A8">
        <w:rPr>
          <w:rFonts w:ascii="Times New Roman" w:hAnsi="Times New Roman" w:cs="Times New Roman"/>
          <w:lang w:val="en-US"/>
        </w:rPr>
        <w:t xml:space="preserve"> (2015), 1069, at 1073–1081. </w:t>
      </w:r>
    </w:p>
  </w:footnote>
  <w:footnote w:id="43">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lang w:val="en-GB"/>
        </w:rPr>
        <w:t>See M. deGuzman, ‘</w:t>
      </w:r>
      <w:r w:rsidRPr="00CB29A8">
        <w:rPr>
          <w:rFonts w:ascii="Times New Roman" w:hAnsi="Times New Roman" w:cs="Times New Roman"/>
          <w:bCs/>
          <w:lang w:val="en-GB"/>
        </w:rPr>
        <w:t>What is the Gravity Threshold for an ICC Investigation? Lessons from the Pre-Trial Chamber Decision in the Comoros Situation</w:t>
      </w:r>
      <w:r w:rsidRPr="00CB29A8">
        <w:rPr>
          <w:rFonts w:ascii="Times New Roman" w:hAnsi="Times New Roman" w:cs="Times New Roman"/>
          <w:lang w:val="en-GB"/>
        </w:rPr>
        <w:t xml:space="preserve">’, 19:19 </w:t>
      </w:r>
      <w:r w:rsidRPr="00CB29A8">
        <w:rPr>
          <w:rFonts w:ascii="Times New Roman" w:hAnsi="Times New Roman" w:cs="Times New Roman"/>
          <w:bCs/>
          <w:i/>
          <w:lang w:val="en-GB"/>
        </w:rPr>
        <w:t>ASIL Insights</w:t>
      </w:r>
      <w:r w:rsidRPr="00CB29A8">
        <w:rPr>
          <w:rFonts w:ascii="Times New Roman" w:hAnsi="Times New Roman" w:cs="Times New Roman"/>
          <w:lang w:val="en-GB"/>
        </w:rPr>
        <w:t xml:space="preserve">, 11 August 2015, www.asil.org/insights/volume/19/issue/19/what-gravity-threshold-icc-investigation-lessons-pre-trial-chamber; G. Pecorella, ‘The Comoros Situation, the Pre-Trial Chamber and the Prosecutor: The Rome Statute’s System of Checks and Balances Is in Good Health’, </w:t>
      </w:r>
      <w:r w:rsidRPr="00CB29A8">
        <w:rPr>
          <w:rFonts w:ascii="Times New Roman" w:hAnsi="Times New Roman" w:cs="Times New Roman"/>
          <w:i/>
          <w:lang w:val="en-GB"/>
        </w:rPr>
        <w:t>International Law Blog</w:t>
      </w:r>
      <w:r w:rsidRPr="00CB29A8">
        <w:rPr>
          <w:rFonts w:ascii="Times New Roman" w:hAnsi="Times New Roman" w:cs="Times New Roman"/>
          <w:lang w:val="en-GB"/>
        </w:rPr>
        <w:t>, 30 November 2015, aninternationallawblog.wordpress.com/2015/11/30/the-comoros-situation-the-pre-trial-chamber-and-the-prosecutor-the-rome-statutes-system-of-checks-and-balances-is-in-good-health/.</w:t>
      </w:r>
    </w:p>
  </w:footnote>
  <w:footnote w:id="44">
    <w:p w:rsidR="00C81D41" w:rsidRPr="00CB29A8" w:rsidRDefault="00C81D41" w:rsidP="00CB29A8">
      <w:pPr>
        <w:spacing w:after="0"/>
        <w:jc w:val="both"/>
        <w:rPr>
          <w:rFonts w:ascii="Times New Roman" w:hAnsi="Times New Roman" w:cs="Times New Roman"/>
          <w:sz w:val="20"/>
          <w:szCs w:val="20"/>
          <w:lang w:val="en-US"/>
        </w:rPr>
      </w:pPr>
      <w:r w:rsidRPr="00CB29A8">
        <w:rPr>
          <w:rStyle w:val="Rimandonotaapidipagina"/>
          <w:rFonts w:ascii="Times New Roman" w:hAnsi="Times New Roman" w:cs="Times New Roman"/>
          <w:sz w:val="20"/>
          <w:szCs w:val="20"/>
          <w:lang w:val="en-GB"/>
        </w:rPr>
        <w:footnoteRef/>
      </w:r>
      <w:r w:rsidRPr="00CB29A8">
        <w:rPr>
          <w:rFonts w:ascii="Times New Roman" w:hAnsi="Times New Roman" w:cs="Times New Roman"/>
          <w:sz w:val="20"/>
          <w:szCs w:val="20"/>
          <w:lang w:val="en-GB"/>
        </w:rPr>
        <w:t xml:space="preserve"> Decision on Admissibility, § 59. See also G. Turone, ‘Powers and Duties of the Prosecutor’, in A. Cassese, P. Gaeta and J.R.W.D. Jones (eds), </w:t>
      </w:r>
      <w:r w:rsidRPr="00CB29A8">
        <w:rPr>
          <w:rFonts w:ascii="Times New Roman" w:hAnsi="Times New Roman" w:cs="Times New Roman"/>
          <w:i/>
          <w:sz w:val="20"/>
          <w:szCs w:val="20"/>
          <w:lang w:val="en-GB"/>
        </w:rPr>
        <w:t>The Rome Statute of the International Criminal Court</w:t>
      </w:r>
      <w:r w:rsidRPr="00CB29A8">
        <w:rPr>
          <w:rFonts w:ascii="Times New Roman" w:hAnsi="Times New Roman" w:cs="Times New Roman"/>
          <w:sz w:val="20"/>
          <w:szCs w:val="20"/>
          <w:lang w:val="en-GB"/>
        </w:rPr>
        <w:t xml:space="preserve"> (Oxford University Press, 2002) 1137, at 1157; W.A. Schabas, </w:t>
      </w:r>
      <w:r w:rsidRPr="00CB29A8">
        <w:rPr>
          <w:rFonts w:ascii="Times New Roman" w:hAnsi="Times New Roman" w:cs="Times New Roman"/>
          <w:i/>
          <w:sz w:val="20"/>
          <w:szCs w:val="20"/>
          <w:lang w:val="en-GB"/>
        </w:rPr>
        <w:t>The International Criminal Court: A Commentary on the Rome Statute</w:t>
      </w:r>
      <w:r w:rsidRPr="00CB29A8">
        <w:rPr>
          <w:rFonts w:ascii="Times New Roman" w:hAnsi="Times New Roman" w:cs="Times New Roman"/>
          <w:sz w:val="20"/>
          <w:szCs w:val="20"/>
          <w:lang w:val="en-GB"/>
        </w:rPr>
        <w:t xml:space="preserve"> (Oxford University Press, 2010)</w:t>
      </w:r>
      <w:r>
        <w:rPr>
          <w:rFonts w:ascii="Times New Roman" w:hAnsi="Times New Roman" w:cs="Times New Roman"/>
          <w:sz w:val="20"/>
          <w:szCs w:val="20"/>
          <w:lang w:val="en-GB"/>
        </w:rPr>
        <w:t>, at</w:t>
      </w:r>
      <w:r w:rsidRPr="00CB29A8">
        <w:rPr>
          <w:rFonts w:ascii="Times New Roman" w:hAnsi="Times New Roman" w:cs="Times New Roman"/>
          <w:sz w:val="20"/>
          <w:szCs w:val="20"/>
          <w:lang w:val="en-GB"/>
        </w:rPr>
        <w:t xml:space="preserve"> 668-669; M. Bergsmo, P. Kruger and O. Bekou, ‘Article 53, Initiation of an Investigation’, in O. Triffterer and K. Ambos (eds), </w:t>
      </w:r>
      <w:r w:rsidRPr="00CB29A8">
        <w:rPr>
          <w:rFonts w:ascii="Times New Roman" w:hAnsi="Times New Roman" w:cs="Times New Roman"/>
          <w:i/>
          <w:sz w:val="20"/>
          <w:szCs w:val="20"/>
          <w:lang w:val="en-GB"/>
        </w:rPr>
        <w:t>Commentary on the Rome Statute of the International Criminal Court</w:t>
      </w:r>
      <w:r w:rsidRPr="00CB29A8">
        <w:rPr>
          <w:rFonts w:ascii="Times New Roman" w:hAnsi="Times New Roman" w:cs="Times New Roman"/>
          <w:sz w:val="20"/>
          <w:szCs w:val="20"/>
          <w:lang w:val="en-GB"/>
        </w:rPr>
        <w:t xml:space="preserve"> (3</w:t>
      </w:r>
      <w:r w:rsidRPr="00CB29A8">
        <w:rPr>
          <w:rFonts w:ascii="Times New Roman" w:hAnsi="Times New Roman" w:cs="Times New Roman"/>
          <w:sz w:val="20"/>
          <w:szCs w:val="20"/>
          <w:vertAlign w:val="superscript"/>
          <w:lang w:val="en-GB"/>
        </w:rPr>
        <w:t>rd</w:t>
      </w:r>
      <w:r w:rsidRPr="00CB29A8">
        <w:rPr>
          <w:rFonts w:ascii="Times New Roman" w:hAnsi="Times New Roman" w:cs="Times New Roman"/>
          <w:sz w:val="20"/>
          <w:szCs w:val="20"/>
          <w:lang w:val="en-GB"/>
        </w:rPr>
        <w:t xml:space="preserve"> edn., C.H.Beck-Hart-Nomos, 2016) 1365, at 1378. </w:t>
      </w:r>
    </w:p>
  </w:footnote>
  <w:footnote w:id="45">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ICC-01/09-19, Situation in Kenya, Decision Pursuant to Article 15 of the Rome Statute on the Authorization of an Investigation into the Situation in the Repu</w:t>
      </w:r>
      <w:r>
        <w:rPr>
          <w:rFonts w:ascii="Times New Roman" w:hAnsi="Times New Roman" w:cs="Times New Roman"/>
          <w:lang w:val="en-GB"/>
        </w:rPr>
        <w:t>blic of Kenya, 31 March 2010, §</w:t>
      </w:r>
      <w:r w:rsidRPr="00CB29A8">
        <w:rPr>
          <w:rFonts w:ascii="Times New Roman" w:hAnsi="Times New Roman" w:cs="Times New Roman"/>
          <w:lang w:val="en-GB"/>
        </w:rPr>
        <w:t xml:space="preserve"> 62. The ICC also considered that ‘certain factors that may be of relevance to the assessment of gravity are listed in rule 145(1)(c) of the Rules [such as] the extent of damage caused, in particular, the harm caused to victims and their families, the nature of the unlawful behaviour and the means employed’ (ICC-02/05-02/09-233-Red, Pre-Trial Chamber I, Situation in Darfur, Sudan, </w:t>
      </w:r>
      <w:r w:rsidRPr="00CB29A8">
        <w:rPr>
          <w:rFonts w:ascii="Times New Roman" w:hAnsi="Times New Roman" w:cs="Times New Roman"/>
          <w:i/>
          <w:lang w:val="en-GB"/>
        </w:rPr>
        <w:t>Prosecutor v. Bahar Idriss Abu Garda</w:t>
      </w:r>
      <w:r w:rsidRPr="00CB29A8">
        <w:rPr>
          <w:rFonts w:ascii="Times New Roman" w:hAnsi="Times New Roman" w:cs="Times New Roman"/>
          <w:lang w:val="en-GB"/>
        </w:rPr>
        <w:t>, Decision on the Confirmation of Charges, 8 February 2010, § 32</w:t>
      </w:r>
      <w:r>
        <w:rPr>
          <w:rFonts w:ascii="Times New Roman" w:hAnsi="Times New Roman" w:cs="Times New Roman"/>
          <w:lang w:val="en-GB"/>
        </w:rPr>
        <w:t>)</w:t>
      </w:r>
      <w:r w:rsidRPr="00CB29A8">
        <w:rPr>
          <w:rFonts w:ascii="Times New Roman" w:hAnsi="Times New Roman" w:cs="Times New Roman"/>
          <w:lang w:val="en-GB"/>
        </w:rPr>
        <w:t xml:space="preserve">. The OTP expressed the same opinion in the </w:t>
      </w:r>
      <w:r w:rsidRPr="00CB29A8">
        <w:rPr>
          <w:rFonts w:ascii="Times New Roman" w:hAnsi="Times New Roman" w:cs="Times New Roman"/>
          <w:bCs/>
          <w:lang w:val="en-GB"/>
        </w:rPr>
        <w:t xml:space="preserve">Decision Not to Investigate, </w:t>
      </w:r>
      <w:r w:rsidRPr="00CB29A8">
        <w:rPr>
          <w:rFonts w:ascii="Times New Roman" w:hAnsi="Times New Roman" w:cs="Times New Roman"/>
          <w:lang w:val="en-GB"/>
        </w:rPr>
        <w:t>§ 136; see also Regulations of the Office of the Prosecutor (entry into force: 23 April 2009), Regulation 29(2); Policy Paper on Preliminary Examinations, November 2013;</w:t>
      </w:r>
      <w:r w:rsidRPr="00CB29A8">
        <w:rPr>
          <w:rFonts w:ascii="Times New Roman" w:hAnsi="Times New Roman" w:cs="Times New Roman"/>
          <w:bCs/>
          <w:lang w:val="en-US"/>
        </w:rPr>
        <w:t xml:space="preserve"> Draft Policy Paper on Case Selection and Prioritisation, 29 February 2016, </w:t>
      </w:r>
      <w:r w:rsidRPr="00CB29A8">
        <w:rPr>
          <w:rFonts w:ascii="Times New Roman" w:hAnsi="Times New Roman" w:cs="Times New Roman"/>
          <w:lang w:val="en-GB"/>
        </w:rPr>
        <w:t>§§ 29, 35</w:t>
      </w:r>
    </w:p>
  </w:footnote>
  <w:footnote w:id="46">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On the concept of gravity, see, among others, R. Murphy, ‘Gravity Issues and the International Criminal Court’, 17 </w:t>
      </w:r>
      <w:r w:rsidRPr="00CB29A8">
        <w:rPr>
          <w:rFonts w:ascii="Times New Roman" w:hAnsi="Times New Roman" w:cs="Times New Roman"/>
          <w:i/>
          <w:lang w:val="en-GB"/>
        </w:rPr>
        <w:t>CLF</w:t>
      </w:r>
      <w:r w:rsidRPr="00CB29A8">
        <w:rPr>
          <w:rFonts w:ascii="Times New Roman" w:hAnsi="Times New Roman" w:cs="Times New Roman"/>
          <w:lang w:val="en-GB"/>
        </w:rPr>
        <w:t xml:space="preserve"> (2006) 281; M.M. deGuzman, ‘Gravity and the Legitimacy of the International Criminal Court’, 32 </w:t>
      </w:r>
      <w:r w:rsidRPr="00CB29A8">
        <w:rPr>
          <w:rFonts w:ascii="Times New Roman" w:hAnsi="Times New Roman" w:cs="Times New Roman"/>
          <w:i/>
          <w:lang w:val="en-GB"/>
        </w:rPr>
        <w:t>Fordham International Law Journal</w:t>
      </w:r>
      <w:r w:rsidRPr="00CB29A8">
        <w:rPr>
          <w:rFonts w:ascii="Times New Roman" w:hAnsi="Times New Roman" w:cs="Times New Roman"/>
          <w:lang w:val="en-GB"/>
        </w:rPr>
        <w:t xml:space="preserve"> (2008) 1400; R. Estupiñan Silva, ‘</w:t>
      </w:r>
      <w:r w:rsidRPr="00CB29A8">
        <w:rPr>
          <w:rFonts w:ascii="Times New Roman" w:hAnsi="Times New Roman" w:cs="Times New Roman"/>
          <w:bCs/>
          <w:lang w:val="en-GB"/>
        </w:rPr>
        <w:t>La «gravité» dans la jurisprudence de la Cour pénale internationale à propos des crimes de guerre</w:t>
      </w:r>
      <w:r w:rsidRPr="00CB29A8">
        <w:rPr>
          <w:rFonts w:ascii="Times New Roman" w:hAnsi="Times New Roman" w:cs="Times New Roman"/>
          <w:lang w:val="en-GB"/>
        </w:rPr>
        <w:t xml:space="preserve">’, 82 </w:t>
      </w:r>
      <w:r w:rsidRPr="00CB29A8">
        <w:rPr>
          <w:rFonts w:ascii="Times New Roman" w:hAnsi="Times New Roman" w:cs="Times New Roman"/>
          <w:bCs/>
          <w:i/>
          <w:lang w:val="en-GB"/>
        </w:rPr>
        <w:t>Revue internationale de droit pénal</w:t>
      </w:r>
      <w:r w:rsidRPr="00CB29A8">
        <w:rPr>
          <w:rFonts w:ascii="Times New Roman" w:hAnsi="Times New Roman" w:cs="Times New Roman"/>
          <w:bCs/>
          <w:lang w:val="en-GB"/>
        </w:rPr>
        <w:t xml:space="preserve"> (2011) 541.</w:t>
      </w:r>
    </w:p>
  </w:footnote>
  <w:footnote w:id="47">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bCs/>
          <w:lang w:val="en-GB"/>
        </w:rPr>
        <w:t xml:space="preserve">Decision Not to Investigate, </w:t>
      </w:r>
      <w:r w:rsidRPr="00CB29A8">
        <w:rPr>
          <w:rFonts w:ascii="Times New Roman" w:hAnsi="Times New Roman" w:cs="Times New Roman"/>
          <w:lang w:val="en-GB"/>
        </w:rPr>
        <w:t>§ 138.</w:t>
      </w:r>
    </w:p>
  </w:footnote>
  <w:footnote w:id="48">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i/>
          <w:lang w:val="en-US"/>
        </w:rPr>
        <w:t>Ibid.</w:t>
      </w:r>
      <w:r w:rsidRPr="00CB29A8">
        <w:rPr>
          <w:rFonts w:ascii="Times New Roman" w:hAnsi="Times New Roman" w:cs="Times New Roman"/>
          <w:lang w:val="en-US"/>
        </w:rPr>
        <w:t xml:space="preserve">, </w:t>
      </w:r>
      <w:r w:rsidRPr="00CB29A8">
        <w:rPr>
          <w:rFonts w:ascii="Times New Roman" w:hAnsi="Times New Roman" w:cs="Times New Roman"/>
          <w:lang w:val="en-GB"/>
        </w:rPr>
        <w:t>§ 138, fn 238.</w:t>
      </w:r>
    </w:p>
  </w:footnote>
  <w:footnote w:id="49">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i/>
          <w:lang w:val="en-US"/>
        </w:rPr>
        <w:t>Ibid.</w:t>
      </w:r>
      <w:r w:rsidRPr="00CB29A8">
        <w:rPr>
          <w:rFonts w:ascii="Times New Roman" w:hAnsi="Times New Roman" w:cs="Times New Roman"/>
          <w:lang w:val="en-US"/>
        </w:rPr>
        <w:t xml:space="preserve">, </w:t>
      </w:r>
      <w:r w:rsidRPr="00CB29A8">
        <w:rPr>
          <w:rFonts w:ascii="Times New Roman" w:hAnsi="Times New Roman" w:cs="Times New Roman"/>
          <w:lang w:val="en-GB"/>
        </w:rPr>
        <w:t>§ 138, fn 239.</w:t>
      </w:r>
      <w:r>
        <w:rPr>
          <w:rFonts w:ascii="Times New Roman" w:hAnsi="Times New Roman" w:cs="Times New Roman"/>
          <w:lang w:val="en-GB"/>
        </w:rPr>
        <w:t xml:space="preserve"> This is consistent with the other fact-finding reports. S</w:t>
      </w:r>
      <w:r w:rsidRPr="00CB29A8">
        <w:rPr>
          <w:rFonts w:ascii="Times New Roman" w:hAnsi="Times New Roman" w:cs="Times New Roman"/>
          <w:lang w:val="en-US"/>
        </w:rPr>
        <w:t xml:space="preserve">ee e.g. </w:t>
      </w:r>
      <w:r w:rsidRPr="00CB29A8">
        <w:rPr>
          <w:rFonts w:ascii="Times New Roman" w:hAnsi="Times New Roman" w:cs="Times New Roman"/>
          <w:lang w:val="en-GB"/>
        </w:rPr>
        <w:t xml:space="preserve">UNHRC, Report of the International Fact-Finding Mission to Investigate Violations of International Law, </w:t>
      </w:r>
      <w:r w:rsidRPr="00CB29A8">
        <w:rPr>
          <w:rFonts w:ascii="Times New Roman" w:hAnsi="Times New Roman" w:cs="Times New Roman"/>
          <w:i/>
          <w:lang w:val="en-GB"/>
        </w:rPr>
        <w:t>supra</w:t>
      </w:r>
      <w:r w:rsidRPr="00CB29A8">
        <w:rPr>
          <w:rFonts w:ascii="Times New Roman" w:hAnsi="Times New Roman" w:cs="Times New Roman"/>
          <w:lang w:val="en-GB"/>
        </w:rPr>
        <w:t xml:space="preserve"> note </w:t>
      </w:r>
      <w:r>
        <w:rPr>
          <w:rFonts w:ascii="Times New Roman" w:hAnsi="Times New Roman" w:cs="Times New Roman"/>
          <w:lang w:val="en-GB"/>
        </w:rPr>
        <w:t>5</w:t>
      </w:r>
      <w:r w:rsidRPr="00CB29A8">
        <w:rPr>
          <w:rFonts w:ascii="Times New Roman" w:hAnsi="Times New Roman" w:cs="Times New Roman"/>
          <w:lang w:val="en-GB"/>
        </w:rPr>
        <w:t>, §§ 178, 196, 202; Palmer-Uribe Panel, §§ 137, 139.</w:t>
      </w:r>
    </w:p>
  </w:footnote>
  <w:footnote w:id="50">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lang w:val="en-GB"/>
        </w:rPr>
        <w:t>Response to the Application for Review, § 65.</w:t>
      </w:r>
    </w:p>
  </w:footnote>
  <w:footnote w:id="51">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PTC I Decision, § 26.</w:t>
      </w:r>
    </w:p>
  </w:footnote>
  <w:footnote w:id="52">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Surprisingly, the Dissenting Opinion of Judge Kovács never mentions the victims of outrages upon personal dignity in the evaluation of the scale of the alleged crimes. See PTC I Decision, Dissenting Opinion of Judge Kovács, </w:t>
      </w:r>
      <w:r w:rsidRPr="00CB29A8">
        <w:rPr>
          <w:rFonts w:ascii="Times New Roman" w:hAnsi="Times New Roman" w:cs="Times New Roman"/>
          <w:lang w:val="en-GB"/>
        </w:rPr>
        <w:t>§ 19.</w:t>
      </w:r>
    </w:p>
  </w:footnote>
  <w:footnote w:id="53">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bCs/>
          <w:lang w:val="en-GB"/>
        </w:rPr>
        <w:t xml:space="preserve">Decision Not to Investigate, </w:t>
      </w:r>
      <w:r w:rsidRPr="00CB29A8">
        <w:rPr>
          <w:rFonts w:ascii="Times New Roman" w:hAnsi="Times New Roman" w:cs="Times New Roman"/>
          <w:lang w:val="en-GB"/>
        </w:rPr>
        <w:t>§ 139.</w:t>
      </w:r>
    </w:p>
  </w:footnote>
  <w:footnote w:id="54">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See ILC, Report of the International Law Commission on the Work of Its Thirty-ninth Session, 42 UN Gaor Supp. (no. 10) </w:t>
      </w:r>
      <w:r w:rsidRPr="00CB29A8">
        <w:rPr>
          <w:rFonts w:ascii="Times New Roman" w:hAnsi="Times New Roman" w:cs="Times New Roman"/>
          <w:lang w:val="en-GB"/>
        </w:rPr>
        <w:t>§ 66, art. 1, cmt. 2, UN Doc. A/42/10 (1987): ‘Seriousness can be deduced either by the nature of the act in question (cruelty, monstrousness, barbarity, etc.)’.</w:t>
      </w:r>
    </w:p>
  </w:footnote>
  <w:footnote w:id="55">
    <w:p w:rsidR="00C81D41" w:rsidRPr="00CB29A8" w:rsidRDefault="00C81D41" w:rsidP="00CB29A8">
      <w:pPr>
        <w:autoSpaceDE w:val="0"/>
        <w:autoSpaceDN w:val="0"/>
        <w:adjustRightInd w:val="0"/>
        <w:spacing w:after="0" w:line="240" w:lineRule="auto"/>
        <w:jc w:val="both"/>
        <w:rPr>
          <w:rFonts w:ascii="Times New Roman" w:hAnsi="Times New Roman" w:cs="Times New Roman"/>
          <w:sz w:val="20"/>
          <w:szCs w:val="20"/>
          <w:lang w:val="en-US"/>
        </w:rPr>
      </w:pPr>
      <w:r w:rsidRPr="00CB29A8">
        <w:rPr>
          <w:rStyle w:val="Rimandonotaapidipagina"/>
          <w:rFonts w:ascii="Times New Roman" w:hAnsi="Times New Roman" w:cs="Times New Roman"/>
          <w:sz w:val="20"/>
          <w:szCs w:val="20"/>
        </w:rPr>
        <w:footnoteRef/>
      </w:r>
      <w:r w:rsidRPr="00CB29A8">
        <w:rPr>
          <w:rFonts w:ascii="Times New Roman" w:hAnsi="Times New Roman" w:cs="Times New Roman"/>
          <w:sz w:val="20"/>
          <w:szCs w:val="20"/>
          <w:lang w:val="en-US"/>
        </w:rPr>
        <w:t xml:space="preserve"> See </w:t>
      </w:r>
      <w:r w:rsidRPr="00CB29A8">
        <w:rPr>
          <w:rFonts w:ascii="Times New Roman" w:hAnsi="Times New Roman" w:cs="Times New Roman"/>
          <w:sz w:val="20"/>
          <w:szCs w:val="20"/>
          <w:lang w:val="en-GB"/>
        </w:rPr>
        <w:t xml:space="preserve">OTP, Policy Paper on Preliminary Examinations, </w:t>
      </w:r>
      <w:r w:rsidRPr="00CB29A8">
        <w:rPr>
          <w:rFonts w:ascii="Times New Roman" w:hAnsi="Times New Roman" w:cs="Times New Roman"/>
          <w:i/>
          <w:sz w:val="20"/>
          <w:szCs w:val="20"/>
          <w:lang w:val="en-GB"/>
        </w:rPr>
        <w:t>supra</w:t>
      </w:r>
      <w:r w:rsidRPr="00CB29A8">
        <w:rPr>
          <w:rFonts w:ascii="Times New Roman" w:hAnsi="Times New Roman" w:cs="Times New Roman"/>
          <w:sz w:val="20"/>
          <w:szCs w:val="20"/>
          <w:lang w:val="en-GB"/>
        </w:rPr>
        <w:t xml:space="preserve"> note </w:t>
      </w:r>
      <w:r w:rsidRPr="00A629E3">
        <w:rPr>
          <w:rFonts w:ascii="Times New Roman" w:hAnsi="Times New Roman" w:cs="Times New Roman"/>
          <w:sz w:val="20"/>
          <w:szCs w:val="20"/>
          <w:lang w:val="en-GB"/>
        </w:rPr>
        <w:t>43</w:t>
      </w:r>
      <w:r w:rsidRPr="00CB29A8">
        <w:rPr>
          <w:rFonts w:ascii="Times New Roman" w:hAnsi="Times New Roman" w:cs="Times New Roman"/>
          <w:sz w:val="20"/>
          <w:szCs w:val="20"/>
          <w:lang w:val="en-GB"/>
        </w:rPr>
        <w:t xml:space="preserve">, § </w:t>
      </w:r>
      <w:r w:rsidRPr="00CB29A8">
        <w:rPr>
          <w:rFonts w:ascii="Times New Roman" w:hAnsi="Times New Roman" w:cs="Times New Roman"/>
          <w:sz w:val="20"/>
          <w:szCs w:val="20"/>
          <w:lang w:val="en-US"/>
        </w:rPr>
        <w:t>63: ‘The nature of the crimes refers to the specific elements of each offence such as killings, rapes and other crimes involving sexual or gender violence and crimes committed against children, persecution, or the imposition of conditions of life on a group calculated to bring about its destruction’.</w:t>
      </w:r>
    </w:p>
  </w:footnote>
  <w:footnote w:id="56">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PTC I Decision, § 30.</w:t>
      </w:r>
    </w:p>
  </w:footnote>
  <w:footnote w:id="57">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Response to the Application for Review, § 102-104. See also Appeal, § 24.</w:t>
      </w:r>
    </w:p>
  </w:footnote>
  <w:footnote w:id="58">
    <w:p w:rsidR="00C81D41" w:rsidRPr="00CB29A8" w:rsidRDefault="00C81D41" w:rsidP="00CB29A8">
      <w:pPr>
        <w:pStyle w:val="Testonotaapidipagina"/>
        <w:jc w:val="both"/>
        <w:rPr>
          <w:rFonts w:ascii="Times New Roman" w:hAnsi="Times New Roman" w:cs="Times New Roman"/>
          <w:lang w:val="fr-FR"/>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This is the rule embodied in Article 31. See also Article 32 on subsidiary means of interpretation, and Article 33 regarding multilingual treaties. </w:t>
      </w:r>
      <w:r w:rsidRPr="00CB29A8">
        <w:rPr>
          <w:rFonts w:ascii="Times New Roman" w:hAnsi="Times New Roman" w:cs="Times New Roman"/>
          <w:lang w:val="fr-FR"/>
        </w:rPr>
        <w:t>The literature on treaty interpretation is particularly vast. See, among others, M.K. Yasseen, ‘</w:t>
      </w:r>
      <w:r w:rsidRPr="00CB29A8">
        <w:rPr>
          <w:rStyle w:val="st"/>
          <w:rFonts w:ascii="Times New Roman" w:hAnsi="Times New Roman" w:cs="Times New Roman"/>
          <w:lang w:val="fr-FR"/>
        </w:rPr>
        <w:t>L’</w:t>
      </w:r>
      <w:r w:rsidRPr="00CB29A8">
        <w:rPr>
          <w:rStyle w:val="Enfasicorsivo"/>
          <w:rFonts w:ascii="Times New Roman" w:hAnsi="Times New Roman" w:cs="Times New Roman"/>
          <w:i w:val="0"/>
          <w:lang w:val="fr-FR"/>
        </w:rPr>
        <w:t>interprétation</w:t>
      </w:r>
      <w:r w:rsidRPr="00CB29A8">
        <w:rPr>
          <w:rStyle w:val="st"/>
          <w:rFonts w:ascii="Times New Roman" w:hAnsi="Times New Roman" w:cs="Times New Roman"/>
          <w:i/>
          <w:lang w:val="fr-FR"/>
        </w:rPr>
        <w:t xml:space="preserve"> </w:t>
      </w:r>
      <w:r w:rsidRPr="00CB29A8">
        <w:rPr>
          <w:rStyle w:val="st"/>
          <w:rFonts w:ascii="Times New Roman" w:hAnsi="Times New Roman" w:cs="Times New Roman"/>
          <w:lang w:val="fr-FR"/>
        </w:rPr>
        <w:t xml:space="preserve">des traités d’après la Convention de Vienne sur le droit des traité’, 151 </w:t>
      </w:r>
      <w:r w:rsidRPr="00CB29A8">
        <w:rPr>
          <w:rStyle w:val="st"/>
          <w:rFonts w:ascii="Times New Roman" w:hAnsi="Times New Roman" w:cs="Times New Roman"/>
          <w:i/>
          <w:lang w:val="fr-FR"/>
        </w:rPr>
        <w:t>Recueil des Cours de l’Académie de Droit International (RCADI)</w:t>
      </w:r>
      <w:r w:rsidRPr="00CB29A8">
        <w:rPr>
          <w:rStyle w:val="st"/>
          <w:rFonts w:ascii="Times New Roman" w:hAnsi="Times New Roman" w:cs="Times New Roman"/>
          <w:lang w:val="fr-FR"/>
        </w:rPr>
        <w:t xml:space="preserve"> (1976) 9; </w:t>
      </w:r>
      <w:r w:rsidRPr="00CB29A8">
        <w:rPr>
          <w:rFonts w:ascii="Times New Roman" w:hAnsi="Times New Roman" w:cs="Times New Roman"/>
          <w:lang w:val="fr-FR"/>
        </w:rPr>
        <w:t xml:space="preserve">R. Kolb, </w:t>
      </w:r>
      <w:r w:rsidRPr="00CB29A8">
        <w:rPr>
          <w:rStyle w:val="st"/>
          <w:rFonts w:ascii="Times New Roman" w:hAnsi="Times New Roman" w:cs="Times New Roman"/>
          <w:i/>
          <w:lang w:val="fr-FR"/>
        </w:rPr>
        <w:t>Interprétation et création du droit international. Esquisse d’une herméneutique juridique moderne pour le droit international public</w:t>
      </w:r>
      <w:r w:rsidRPr="00CB29A8">
        <w:rPr>
          <w:rFonts w:ascii="Times New Roman" w:hAnsi="Times New Roman" w:cs="Times New Roman"/>
          <w:lang w:val="fr-FR"/>
        </w:rPr>
        <w:t xml:space="preserve"> (Bruylant, 2006); </w:t>
      </w:r>
      <w:r w:rsidRPr="00CB29A8">
        <w:rPr>
          <w:rStyle w:val="st"/>
          <w:rFonts w:ascii="Times New Roman" w:hAnsi="Times New Roman" w:cs="Times New Roman"/>
          <w:lang w:val="fr-FR"/>
        </w:rPr>
        <w:t xml:space="preserve">U. Linderfalk, </w:t>
      </w:r>
      <w:r w:rsidRPr="00CB29A8">
        <w:rPr>
          <w:rStyle w:val="st"/>
          <w:rFonts w:ascii="Times New Roman" w:hAnsi="Times New Roman" w:cs="Times New Roman"/>
          <w:i/>
          <w:lang w:val="fr-FR"/>
        </w:rPr>
        <w:t>On the Interpretation of Treaties</w:t>
      </w:r>
      <w:r w:rsidRPr="00CB29A8">
        <w:rPr>
          <w:rFonts w:ascii="Times New Roman" w:hAnsi="Times New Roman" w:cs="Times New Roman"/>
          <w:bCs/>
          <w:lang w:val="fr-FR"/>
        </w:rPr>
        <w:t xml:space="preserve"> (Springer, 2007);</w:t>
      </w:r>
      <w:r w:rsidRPr="00CB29A8">
        <w:rPr>
          <w:rStyle w:val="st"/>
          <w:rFonts w:ascii="Times New Roman" w:hAnsi="Times New Roman" w:cs="Times New Roman"/>
          <w:lang w:val="fr-FR"/>
        </w:rPr>
        <w:t xml:space="preserve"> M. Herdegen, ‘Interpretation in International Law’, </w:t>
      </w:r>
      <w:r w:rsidRPr="00CB29A8">
        <w:rPr>
          <w:rStyle w:val="st"/>
          <w:rFonts w:ascii="Times New Roman" w:hAnsi="Times New Roman" w:cs="Times New Roman"/>
          <w:i/>
          <w:lang w:val="fr-FR"/>
        </w:rPr>
        <w:t>Max Planck Encyclopedia of Public International Law</w:t>
      </w:r>
      <w:r w:rsidRPr="00CB29A8">
        <w:rPr>
          <w:rStyle w:val="st"/>
          <w:rFonts w:ascii="Times New Roman" w:hAnsi="Times New Roman" w:cs="Times New Roman"/>
          <w:lang w:val="fr-FR"/>
        </w:rPr>
        <w:t xml:space="preserve">, online, March 2013; D. Alland, ‘L’interprétacion du droit international public’, 362 </w:t>
      </w:r>
      <w:r w:rsidRPr="00CB29A8">
        <w:rPr>
          <w:rStyle w:val="st"/>
          <w:rFonts w:ascii="Times New Roman" w:hAnsi="Times New Roman" w:cs="Times New Roman"/>
          <w:i/>
          <w:lang w:val="fr-FR"/>
        </w:rPr>
        <w:t>RCADI</w:t>
      </w:r>
      <w:r w:rsidRPr="00CB29A8">
        <w:rPr>
          <w:rStyle w:val="st"/>
          <w:rFonts w:ascii="Times New Roman" w:hAnsi="Times New Roman" w:cs="Times New Roman"/>
          <w:lang w:val="fr-FR"/>
        </w:rPr>
        <w:t xml:space="preserve"> (2014) 41; A. Bianchi, D. Peat and M. Windsor (eds), </w:t>
      </w:r>
      <w:r w:rsidRPr="00CB29A8">
        <w:rPr>
          <w:rStyle w:val="st"/>
          <w:rFonts w:ascii="Times New Roman" w:hAnsi="Times New Roman" w:cs="Times New Roman"/>
          <w:i/>
          <w:lang w:val="fr-FR"/>
        </w:rPr>
        <w:t>Interpretation in International Law</w:t>
      </w:r>
      <w:r w:rsidRPr="00CB29A8">
        <w:rPr>
          <w:rStyle w:val="st"/>
          <w:rFonts w:ascii="Times New Roman" w:hAnsi="Times New Roman" w:cs="Times New Roman"/>
          <w:lang w:val="fr-FR"/>
        </w:rPr>
        <w:t xml:space="preserve"> (Oxford University Press, 2015); R. Gardiner, </w:t>
      </w:r>
      <w:r w:rsidRPr="00CB29A8">
        <w:rPr>
          <w:rStyle w:val="st"/>
          <w:rFonts w:ascii="Times New Roman" w:hAnsi="Times New Roman" w:cs="Times New Roman"/>
          <w:i/>
          <w:lang w:val="fr-FR"/>
        </w:rPr>
        <w:t xml:space="preserve">Treaty Interpretation </w:t>
      </w:r>
      <w:r w:rsidRPr="00CB29A8">
        <w:rPr>
          <w:rStyle w:val="st"/>
          <w:rFonts w:ascii="Times New Roman" w:hAnsi="Times New Roman" w:cs="Times New Roman"/>
          <w:lang w:val="fr-FR"/>
        </w:rPr>
        <w:t>(2nd</w:t>
      </w:r>
      <w:r w:rsidRPr="00CB29A8">
        <w:rPr>
          <w:rStyle w:val="st"/>
          <w:rFonts w:ascii="Times New Roman" w:hAnsi="Times New Roman" w:cs="Times New Roman"/>
          <w:vertAlign w:val="superscript"/>
          <w:lang w:val="fr-FR"/>
        </w:rPr>
        <w:t xml:space="preserve"> </w:t>
      </w:r>
      <w:r w:rsidRPr="00CB29A8">
        <w:rPr>
          <w:rStyle w:val="st"/>
          <w:rFonts w:ascii="Times New Roman" w:hAnsi="Times New Roman" w:cs="Times New Roman"/>
          <w:lang w:val="fr-FR"/>
        </w:rPr>
        <w:t xml:space="preserve">edn., Oxford University Press, 2015). </w:t>
      </w:r>
    </w:p>
  </w:footnote>
  <w:footnote w:id="59">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See, e.g., ICC-01/04-168, Appeals Chamber, Situation in the Democratic Republic of the Congo, Judgment on the Prosecutor’s Application for Extraordinary Review of the Pre-Trial Chamber I’s 31 March 2006 Decision Denying Leave to Appeal, 31 July 2006, § 33; ICC-01/04-01/07-3436-tENG, </w:t>
      </w:r>
      <w:r w:rsidRPr="00CB29A8">
        <w:rPr>
          <w:rFonts w:ascii="Times New Roman" w:hAnsi="Times New Roman" w:cs="Times New Roman"/>
          <w:i/>
          <w:lang w:val="en-GB"/>
        </w:rPr>
        <w:t>Prosecutor v. Germain Katanga</w:t>
      </w:r>
      <w:r w:rsidRPr="00CB29A8">
        <w:rPr>
          <w:rFonts w:ascii="Times New Roman" w:hAnsi="Times New Roman" w:cs="Times New Roman"/>
          <w:lang w:val="en-GB"/>
        </w:rPr>
        <w:t xml:space="preserve">, Judgment pursuant to Article 74 of the Statute, 7 March 2014, § 43; </w:t>
      </w:r>
      <w:r w:rsidRPr="00CB29A8">
        <w:rPr>
          <w:rFonts w:ascii="Times New Roman" w:hAnsi="Times New Roman" w:cs="Times New Roman"/>
          <w:lang w:val="en-US"/>
        </w:rPr>
        <w:t xml:space="preserve">ICC-01/05-01/08-3343, </w:t>
      </w:r>
      <w:r w:rsidRPr="003F513B">
        <w:rPr>
          <w:rFonts w:ascii="Times New Roman" w:hAnsi="Times New Roman" w:cs="Times New Roman"/>
          <w:i/>
          <w:lang w:val="en-GB"/>
        </w:rPr>
        <w:t xml:space="preserve">Prosecutor v. </w:t>
      </w:r>
      <w:r w:rsidRPr="003F513B">
        <w:rPr>
          <w:rFonts w:ascii="Times New Roman" w:hAnsi="Times New Roman" w:cs="Times New Roman"/>
          <w:i/>
          <w:lang w:val="en-US"/>
        </w:rPr>
        <w:t>Jean-Pierre Bemba Gombo</w:t>
      </w:r>
      <w:r w:rsidRPr="00CB29A8">
        <w:rPr>
          <w:rFonts w:ascii="Times New Roman" w:hAnsi="Times New Roman" w:cs="Times New Roman"/>
          <w:lang w:val="en-GB"/>
        </w:rPr>
        <w:t xml:space="preserve">, </w:t>
      </w:r>
      <w:r w:rsidRPr="00CB29A8">
        <w:rPr>
          <w:rFonts w:ascii="Times New Roman" w:hAnsi="Times New Roman" w:cs="Times New Roman"/>
          <w:bCs/>
          <w:lang w:val="en-US"/>
        </w:rPr>
        <w:t>Judgment pursuant to Article 74 of the Statute</w:t>
      </w:r>
      <w:r w:rsidRPr="00CB29A8">
        <w:rPr>
          <w:rFonts w:ascii="Times New Roman" w:hAnsi="Times New Roman" w:cs="Times New Roman"/>
          <w:lang w:val="en-US"/>
        </w:rPr>
        <w:t xml:space="preserve">, 21 March 2016, </w:t>
      </w:r>
      <w:r w:rsidRPr="00CB29A8">
        <w:rPr>
          <w:rFonts w:ascii="Times New Roman" w:hAnsi="Times New Roman" w:cs="Times New Roman"/>
          <w:lang w:val="en-GB"/>
        </w:rPr>
        <w:t xml:space="preserve">§ </w:t>
      </w:r>
      <w:r w:rsidRPr="00CB29A8">
        <w:rPr>
          <w:rFonts w:ascii="Times New Roman" w:hAnsi="Times New Roman" w:cs="Times New Roman"/>
          <w:lang w:val="en-US"/>
        </w:rPr>
        <w:t>75</w:t>
      </w:r>
      <w:r w:rsidRPr="00CB29A8">
        <w:rPr>
          <w:rFonts w:ascii="Times New Roman" w:hAnsi="Times New Roman" w:cs="Times New Roman"/>
          <w:lang w:val="en-GB"/>
        </w:rPr>
        <w:t>. See also L. Grover, ‘</w:t>
      </w:r>
      <w:r w:rsidRPr="00CB29A8">
        <w:rPr>
          <w:rFonts w:ascii="Times New Roman" w:hAnsi="Times New Roman" w:cs="Times New Roman"/>
          <w:i/>
          <w:lang w:val="en-GB"/>
        </w:rPr>
        <w:t>Interpreting Crimes in the Rome Statute of the International Criminal Court</w:t>
      </w:r>
      <w:r w:rsidRPr="00CB29A8">
        <w:rPr>
          <w:rFonts w:ascii="Times New Roman" w:hAnsi="Times New Roman" w:cs="Times New Roman"/>
          <w:bCs/>
          <w:lang w:val="en-GB"/>
        </w:rPr>
        <w:t xml:space="preserve"> (Cambridge University Press, 2014); A. Bufalini, ‘The Principle of Legality and the Role of Customary International Law in the Interpretation of the ICC Statute’, 14 </w:t>
      </w:r>
      <w:r w:rsidRPr="00CB29A8">
        <w:rPr>
          <w:rFonts w:ascii="Times New Roman" w:hAnsi="Times New Roman" w:cs="Times New Roman"/>
          <w:i/>
          <w:lang w:val="en-GB"/>
        </w:rPr>
        <w:t>The Law and Practice of International Courts and Tribunals</w:t>
      </w:r>
      <w:r w:rsidRPr="00CB29A8">
        <w:rPr>
          <w:rFonts w:ascii="Times New Roman" w:hAnsi="Times New Roman" w:cs="Times New Roman"/>
          <w:bCs/>
          <w:lang w:val="en-GB"/>
        </w:rPr>
        <w:t xml:space="preserve"> (2015) 233.</w:t>
      </w:r>
    </w:p>
  </w:footnote>
  <w:footnote w:id="60">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The recourse to the VCLT is not automatically in conflict with the domestic principles regarding the interpretation of penal statutes. For a discussion on this issue in the case law of the </w:t>
      </w:r>
      <w:r w:rsidRPr="00CB29A8">
        <w:rPr>
          <w:rFonts w:ascii="Times New Roman" w:hAnsi="Times New Roman" w:cs="Times New Roman"/>
          <w:i/>
          <w:lang w:val="en-GB"/>
        </w:rPr>
        <w:t>ad hoc</w:t>
      </w:r>
      <w:r w:rsidRPr="00CB29A8">
        <w:rPr>
          <w:rFonts w:ascii="Times New Roman" w:hAnsi="Times New Roman" w:cs="Times New Roman"/>
          <w:lang w:val="en-GB"/>
        </w:rPr>
        <w:t xml:space="preserve"> Tribunals, see W.A. Schabas, ‘Interpreting the Statutes of the Ad Hoc Tribunals’, in L.C. Vorah et al. (eds), </w:t>
      </w:r>
      <w:r w:rsidRPr="00CB29A8">
        <w:rPr>
          <w:rFonts w:ascii="Times New Roman" w:hAnsi="Times New Roman" w:cs="Times New Roman"/>
          <w:i/>
          <w:lang w:val="en-GB"/>
        </w:rPr>
        <w:t>Man’s Inhumanity to Man. Essays on International Law in Honour of Antonio Cassese</w:t>
      </w:r>
      <w:r w:rsidRPr="00CB29A8">
        <w:rPr>
          <w:rFonts w:ascii="Times New Roman" w:hAnsi="Times New Roman" w:cs="Times New Roman"/>
          <w:lang w:val="en-GB"/>
        </w:rPr>
        <w:t xml:space="preserve"> (Kluwer Law International, 2003) 847. With regard to the ICC Statute, see L. Gradoni, ‘Regole di interpretazione difficili da interpretare e frammentazione del principio di integrazione sistemica’, 93 </w:t>
      </w:r>
      <w:r w:rsidRPr="00CB29A8">
        <w:rPr>
          <w:rFonts w:ascii="Times New Roman" w:hAnsi="Times New Roman" w:cs="Times New Roman"/>
          <w:i/>
          <w:lang w:val="en-GB"/>
        </w:rPr>
        <w:t>RDI</w:t>
      </w:r>
      <w:r w:rsidRPr="00CB29A8">
        <w:rPr>
          <w:rFonts w:ascii="Times New Roman" w:hAnsi="Times New Roman" w:cs="Times New Roman"/>
          <w:lang w:val="en-GB"/>
        </w:rPr>
        <w:t xml:space="preserve"> (2010) 809, at 814-816; L.M. Sadat and J.M. Jolly, ‘Seven Canons of ICC Treaty Interpretation: Making Sense of Article 25’s Rorschach Blot’, 27 </w:t>
      </w:r>
      <w:r w:rsidRPr="00CB29A8">
        <w:rPr>
          <w:rFonts w:ascii="Times New Roman" w:hAnsi="Times New Roman" w:cs="Times New Roman"/>
          <w:i/>
          <w:lang w:val="en-GB"/>
        </w:rPr>
        <w:t>Leiden Journal of International Law</w:t>
      </w:r>
      <w:r w:rsidRPr="00CB29A8">
        <w:rPr>
          <w:rFonts w:ascii="Times New Roman" w:hAnsi="Times New Roman" w:cs="Times New Roman"/>
          <w:lang w:val="en-GB"/>
        </w:rPr>
        <w:t xml:space="preserve"> (2014) 755.</w:t>
      </w:r>
    </w:p>
  </w:footnote>
  <w:footnote w:id="61">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See ICCSt., Article 42(1).</w:t>
      </w:r>
    </w:p>
  </w:footnote>
  <w:footnote w:id="62">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For the difference between discretionary and arbitrary powers in international law, see the entry ‘Discrétionnaire’ in J. Salmon (éd), Dictionnaire de droit international public (Bruylant), at 344. On the discretionary nature of the OTP’s powers, see G. Turone, ‘Powers and Duties of the Prosecutor’, in A. Cassese, P. Gaeta and J.R.W.D. Jones (eds), </w:t>
      </w:r>
      <w:r w:rsidRPr="00CB29A8">
        <w:rPr>
          <w:rFonts w:ascii="Times New Roman" w:hAnsi="Times New Roman" w:cs="Times New Roman"/>
          <w:i/>
          <w:lang w:val="en-GB"/>
        </w:rPr>
        <w:t>The Rome Statute of the International Criminal Court</w:t>
      </w:r>
      <w:r w:rsidRPr="00CB29A8">
        <w:rPr>
          <w:rFonts w:ascii="Times New Roman" w:hAnsi="Times New Roman" w:cs="Times New Roman"/>
          <w:lang w:val="en-GB"/>
        </w:rPr>
        <w:t xml:space="preserve"> (Oxford University Press, 2002) 1137, at 1138-1139. More generally, see also H. Olàsolo, ‘The Prosecutor of the ICC before the Initiation of Investigations: A Quasi-Judicial or a Political Body?’, 3 </w:t>
      </w:r>
      <w:r w:rsidRPr="00CB29A8">
        <w:rPr>
          <w:rFonts w:ascii="Times New Roman" w:hAnsi="Times New Roman" w:cs="Times New Roman"/>
          <w:i/>
          <w:lang w:val="en-GB"/>
        </w:rPr>
        <w:t xml:space="preserve">ICLR </w:t>
      </w:r>
      <w:r w:rsidRPr="00CB29A8">
        <w:rPr>
          <w:rFonts w:ascii="Times New Roman" w:hAnsi="Times New Roman" w:cs="Times New Roman"/>
          <w:lang w:val="en-GB"/>
        </w:rPr>
        <w:t xml:space="preserve">(2003) 87; W.A. Schabas, ‘Prosecutorial Discretion v. Judicial Activism at the International Criminal Court’, 6 </w:t>
      </w:r>
      <w:r w:rsidRPr="00CB29A8">
        <w:rPr>
          <w:rFonts w:ascii="Times New Roman" w:hAnsi="Times New Roman" w:cs="Times New Roman"/>
          <w:i/>
          <w:lang w:val="en-GB"/>
        </w:rPr>
        <w:t>JICJ</w:t>
      </w:r>
      <w:r w:rsidRPr="00CB29A8">
        <w:rPr>
          <w:rFonts w:ascii="Times New Roman" w:hAnsi="Times New Roman" w:cs="Times New Roman"/>
          <w:lang w:val="en-GB"/>
        </w:rPr>
        <w:t xml:space="preserve"> (2008) 731</w:t>
      </w:r>
      <w:r w:rsidRPr="00CB29A8">
        <w:rPr>
          <w:rFonts w:ascii="Times New Roman" w:hAnsi="Times New Roman" w:cs="Times New Roman"/>
          <w:bCs/>
          <w:lang w:val="en-GB"/>
        </w:rPr>
        <w:t>.</w:t>
      </w:r>
    </w:p>
  </w:footnote>
  <w:footnote w:id="63">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See Note regarding part 5 and articles 54 and 60 contained in the transmitted letter from the Chairman of the Committee of the Whole to the Chairman of the Drafting Committee dated 26 June 1998, UN Doc a/CONF.183/13(Vol.III), at 292.</w:t>
      </w:r>
    </w:p>
  </w:footnote>
  <w:footnote w:id="64">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US"/>
        </w:rPr>
        <w:t xml:space="preserve"> See </w:t>
      </w:r>
      <w:r w:rsidRPr="00CB29A8">
        <w:rPr>
          <w:rFonts w:ascii="Times New Roman" w:hAnsi="Times New Roman" w:cs="Times New Roman"/>
          <w:lang w:val="en-GB"/>
        </w:rPr>
        <w:t xml:space="preserve">ICC-01/09-19, Situation in Kenya, </w:t>
      </w:r>
      <w:r w:rsidRPr="00CB29A8">
        <w:rPr>
          <w:rFonts w:ascii="Times New Roman" w:hAnsi="Times New Roman" w:cs="Times New Roman"/>
          <w:i/>
          <w:lang w:val="en-GB"/>
        </w:rPr>
        <w:t>supra</w:t>
      </w:r>
      <w:r w:rsidRPr="00CB29A8">
        <w:rPr>
          <w:rFonts w:ascii="Times New Roman" w:hAnsi="Times New Roman" w:cs="Times New Roman"/>
          <w:lang w:val="en-GB"/>
        </w:rPr>
        <w:t xml:space="preserve"> note </w:t>
      </w:r>
      <w:r w:rsidRPr="00A629E3">
        <w:rPr>
          <w:rFonts w:ascii="Times New Roman" w:hAnsi="Times New Roman" w:cs="Times New Roman"/>
          <w:lang w:val="en-GB"/>
        </w:rPr>
        <w:t>43</w:t>
      </w:r>
      <w:r w:rsidRPr="00CB29A8">
        <w:rPr>
          <w:rFonts w:ascii="Times New Roman" w:hAnsi="Times New Roman" w:cs="Times New Roman"/>
          <w:lang w:val="en-GB"/>
        </w:rPr>
        <w:t>,</w:t>
      </w:r>
      <w:r w:rsidRPr="00CB29A8">
        <w:rPr>
          <w:rFonts w:ascii="Times New Roman" w:hAnsi="Times New Roman" w:cs="Times New Roman"/>
          <w:lang w:val="en-US"/>
        </w:rPr>
        <w:t xml:space="preserve"> </w:t>
      </w:r>
      <w:r w:rsidRPr="00CB29A8">
        <w:rPr>
          <w:rFonts w:ascii="Times New Roman" w:hAnsi="Times New Roman" w:cs="Times New Roman"/>
          <w:lang w:val="en-GB"/>
        </w:rPr>
        <w:t xml:space="preserve">§ 27. See also </w:t>
      </w:r>
      <w:r w:rsidRPr="00CB29A8">
        <w:rPr>
          <w:rFonts w:ascii="Times New Roman" w:hAnsi="Times New Roman" w:cs="Times New Roman"/>
          <w:lang w:val="en-US"/>
        </w:rPr>
        <w:t xml:space="preserve">Schabas, </w:t>
      </w:r>
      <w:r w:rsidRPr="005D65C3">
        <w:rPr>
          <w:rFonts w:ascii="Times New Roman" w:hAnsi="Times New Roman" w:cs="Times New Roman"/>
          <w:i/>
          <w:lang w:val="en-US"/>
        </w:rPr>
        <w:t>The International Criminal Court</w:t>
      </w:r>
      <w:r w:rsidRPr="00CB29A8">
        <w:rPr>
          <w:rFonts w:ascii="Times New Roman" w:hAnsi="Times New Roman" w:cs="Times New Roman"/>
          <w:lang w:val="en-US"/>
        </w:rPr>
        <w:t xml:space="preserve">, </w:t>
      </w:r>
      <w:r w:rsidRPr="00CB29A8">
        <w:rPr>
          <w:rFonts w:ascii="Times New Roman" w:hAnsi="Times New Roman" w:cs="Times New Roman"/>
          <w:i/>
          <w:lang w:val="en-US"/>
        </w:rPr>
        <w:t>supra</w:t>
      </w:r>
      <w:r>
        <w:rPr>
          <w:rFonts w:ascii="Times New Roman" w:hAnsi="Times New Roman" w:cs="Times New Roman"/>
          <w:lang w:val="en-US"/>
        </w:rPr>
        <w:t xml:space="preserve"> note </w:t>
      </w:r>
      <w:r w:rsidRPr="00A629E3">
        <w:rPr>
          <w:rFonts w:ascii="Times New Roman" w:hAnsi="Times New Roman" w:cs="Times New Roman"/>
          <w:lang w:val="en-US"/>
        </w:rPr>
        <w:t>42</w:t>
      </w:r>
      <w:r>
        <w:rPr>
          <w:rFonts w:ascii="Times New Roman" w:hAnsi="Times New Roman" w:cs="Times New Roman"/>
          <w:lang w:val="en-US"/>
        </w:rPr>
        <w:t xml:space="preserve">, at 666; </w:t>
      </w:r>
      <w:r w:rsidRPr="00CB29A8">
        <w:rPr>
          <w:rFonts w:ascii="Times New Roman" w:hAnsi="Times New Roman" w:cs="Times New Roman"/>
          <w:lang w:val="en-US"/>
        </w:rPr>
        <w:t>K. De Meester,</w:t>
      </w:r>
      <w:r>
        <w:rPr>
          <w:rFonts w:ascii="Times New Roman" w:hAnsi="Times New Roman" w:cs="Times New Roman"/>
          <w:lang w:val="en-US"/>
        </w:rPr>
        <w:t xml:space="preserve"> The </w:t>
      </w:r>
      <w:r w:rsidRPr="008D4C0A">
        <w:rPr>
          <w:rFonts w:ascii="Times New Roman" w:hAnsi="Times New Roman" w:cs="Times New Roman"/>
          <w:i/>
          <w:lang w:val="en-US"/>
        </w:rPr>
        <w:t>Investigation Phase in International Criminal Procedure: in Search of Common Rules</w:t>
      </w:r>
      <w:r>
        <w:rPr>
          <w:rFonts w:ascii="Times New Roman" w:hAnsi="Times New Roman" w:cs="Times New Roman"/>
          <w:lang w:val="en-US"/>
        </w:rPr>
        <w:t xml:space="preserve"> (Intersentia, 2015), at 141.</w:t>
      </w:r>
    </w:p>
  </w:footnote>
  <w:footnote w:id="65">
    <w:p w:rsidR="00C81D41" w:rsidRPr="0056638A"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56638A">
        <w:rPr>
          <w:rFonts w:ascii="Times New Roman" w:hAnsi="Times New Roman" w:cs="Times New Roman"/>
          <w:lang w:val="en-US"/>
        </w:rPr>
        <w:t xml:space="preserve"> ICC-01/15-12, </w:t>
      </w:r>
      <w:r w:rsidRPr="0056638A">
        <w:rPr>
          <w:rFonts w:ascii="Times New Roman" w:hAnsi="Times New Roman" w:cs="Times New Roman"/>
          <w:bCs/>
          <w:lang w:val="en-US"/>
        </w:rPr>
        <w:t xml:space="preserve">Situation in Georgia, Decision on the Prosecutor’s request for authorization of an investigation, 27 January 2016, </w:t>
      </w:r>
      <w:r w:rsidRPr="0056638A">
        <w:rPr>
          <w:rFonts w:ascii="Times New Roman" w:hAnsi="Times New Roman" w:cs="Times New Roman"/>
          <w:lang w:val="en-US"/>
        </w:rPr>
        <w:t>§ 37.</w:t>
      </w:r>
    </w:p>
  </w:footnote>
  <w:footnote w:id="66">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fr-FR"/>
        </w:rPr>
        <w:t xml:space="preserve"> See G. Bitti, ‘Article 53 – Ouverture d’une enquête’, in J. Fernandez and X. Pacreau (eds), </w:t>
      </w:r>
      <w:r w:rsidRPr="00CB29A8">
        <w:rPr>
          <w:rFonts w:ascii="Times New Roman" w:hAnsi="Times New Roman" w:cs="Times New Roman"/>
          <w:i/>
          <w:lang w:val="fr-FR"/>
        </w:rPr>
        <w:t>Statut de Rome de la Cour pénale internationale, Commentaire article par article</w:t>
      </w:r>
      <w:r w:rsidRPr="00CB29A8">
        <w:rPr>
          <w:rFonts w:ascii="Times New Roman" w:hAnsi="Times New Roman" w:cs="Times New Roman"/>
          <w:lang w:val="fr-FR"/>
        </w:rPr>
        <w:t xml:space="preserve"> (Pedone, 2012) 1173, at 1191. </w:t>
      </w:r>
      <w:r w:rsidRPr="00CB29A8">
        <w:rPr>
          <w:rFonts w:ascii="Times New Roman" w:hAnsi="Times New Roman" w:cs="Times New Roman"/>
          <w:i/>
          <w:lang w:val="en-US"/>
        </w:rPr>
        <w:t>Contra</w:t>
      </w:r>
      <w:r w:rsidRPr="00CB29A8">
        <w:rPr>
          <w:rFonts w:ascii="Times New Roman" w:hAnsi="Times New Roman" w:cs="Times New Roman"/>
          <w:lang w:val="en-US"/>
        </w:rPr>
        <w:t xml:space="preserve">, see OTP, </w:t>
      </w:r>
      <w:r w:rsidRPr="00CB29A8">
        <w:rPr>
          <w:rFonts w:ascii="Times New Roman" w:hAnsi="Times New Roman" w:cs="Times New Roman"/>
          <w:bCs/>
          <w:lang w:val="en-US"/>
        </w:rPr>
        <w:t xml:space="preserve">Draft Policy Paper, </w:t>
      </w:r>
      <w:r w:rsidRPr="00CB29A8">
        <w:rPr>
          <w:rFonts w:ascii="Times New Roman" w:hAnsi="Times New Roman" w:cs="Times New Roman"/>
          <w:bCs/>
          <w:i/>
          <w:lang w:val="en-US"/>
        </w:rPr>
        <w:t>supra</w:t>
      </w:r>
      <w:r>
        <w:rPr>
          <w:rFonts w:ascii="Times New Roman" w:hAnsi="Times New Roman" w:cs="Times New Roman"/>
          <w:bCs/>
          <w:lang w:val="en-US"/>
        </w:rPr>
        <w:t xml:space="preserve"> note </w:t>
      </w:r>
      <w:r w:rsidRPr="00A629E3">
        <w:rPr>
          <w:rFonts w:ascii="Times New Roman" w:hAnsi="Times New Roman" w:cs="Times New Roman"/>
          <w:bCs/>
          <w:lang w:val="en-US"/>
        </w:rPr>
        <w:t>43</w:t>
      </w:r>
      <w:r w:rsidRPr="00CB29A8">
        <w:rPr>
          <w:rFonts w:ascii="Times New Roman" w:hAnsi="Times New Roman" w:cs="Times New Roman"/>
          <w:bCs/>
          <w:lang w:val="en-US"/>
        </w:rPr>
        <w:t xml:space="preserve">, </w:t>
      </w:r>
      <w:r w:rsidRPr="00CB29A8">
        <w:rPr>
          <w:rFonts w:ascii="Times New Roman" w:hAnsi="Times New Roman" w:cs="Times New Roman"/>
          <w:lang w:val="en-GB"/>
        </w:rPr>
        <w:t xml:space="preserve">§ 36, which this author considers to be the OTP’s response to PTC I’s decision on the </w:t>
      </w:r>
      <w:r w:rsidRPr="00CB29A8">
        <w:rPr>
          <w:rFonts w:ascii="Times New Roman" w:hAnsi="Times New Roman" w:cs="Times New Roman"/>
          <w:i/>
          <w:lang w:val="en-GB"/>
        </w:rPr>
        <w:t>Mavi Marmara</w:t>
      </w:r>
      <w:r w:rsidRPr="00CB29A8">
        <w:rPr>
          <w:rFonts w:ascii="Times New Roman" w:hAnsi="Times New Roman" w:cs="Times New Roman"/>
          <w:lang w:val="en-GB"/>
        </w:rPr>
        <w:t xml:space="preserve"> </w:t>
      </w:r>
      <w:r>
        <w:rPr>
          <w:rFonts w:ascii="Times New Roman" w:hAnsi="Times New Roman" w:cs="Times New Roman"/>
          <w:lang w:val="en-GB"/>
        </w:rPr>
        <w:t>affaire</w:t>
      </w:r>
      <w:r w:rsidRPr="00CB29A8">
        <w:rPr>
          <w:rFonts w:ascii="Times New Roman" w:hAnsi="Times New Roman" w:cs="Times New Roman"/>
          <w:lang w:val="en-GB"/>
        </w:rPr>
        <w:t>.</w:t>
      </w:r>
    </w:p>
  </w:footnote>
  <w:footnote w:id="67">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K. De Meester,</w:t>
      </w:r>
      <w:r>
        <w:rPr>
          <w:rFonts w:ascii="Times New Roman" w:hAnsi="Times New Roman" w:cs="Times New Roman"/>
          <w:lang w:val="en-US"/>
        </w:rPr>
        <w:t xml:space="preserve"> ‘</w:t>
      </w:r>
      <w:r w:rsidRPr="00CB29A8">
        <w:rPr>
          <w:rFonts w:ascii="Times New Roman" w:hAnsi="Times New Roman" w:cs="Times New Roman"/>
          <w:lang w:val="en-US"/>
        </w:rPr>
        <w:t>Article 53(1)(b)</w:t>
      </w:r>
      <w:r>
        <w:rPr>
          <w:rFonts w:ascii="Times New Roman" w:hAnsi="Times New Roman" w:cs="Times New Roman"/>
          <w:lang w:val="en-US"/>
        </w:rPr>
        <w:t>’</w:t>
      </w:r>
      <w:r w:rsidRPr="00CB29A8">
        <w:rPr>
          <w:rFonts w:ascii="Times New Roman" w:hAnsi="Times New Roman" w:cs="Times New Roman"/>
          <w:lang w:val="en-US"/>
        </w:rPr>
        <w:t xml:space="preserve">, in M. Klamberg (ed), </w:t>
      </w:r>
      <w:r w:rsidRPr="008D4C0A">
        <w:rPr>
          <w:rFonts w:ascii="Times New Roman" w:hAnsi="Times New Roman" w:cs="Times New Roman"/>
          <w:i/>
          <w:lang w:val="en-US"/>
        </w:rPr>
        <w:t>The Commentary on the Law of the International Criminal Court</w:t>
      </w:r>
      <w:r w:rsidRPr="00CB29A8">
        <w:rPr>
          <w:rFonts w:ascii="Times New Roman" w:hAnsi="Times New Roman" w:cs="Times New Roman"/>
          <w:lang w:val="en-US"/>
        </w:rPr>
        <w:t xml:space="preserve">, www.casematrixnetwork.org/cmn-knowledge-hub/icc-commentary-clicc/commentary-rome-statute/commentary-rome-statute-part-5/#c2064; </w:t>
      </w:r>
      <w:r w:rsidRPr="00CB29A8">
        <w:rPr>
          <w:rFonts w:ascii="Times New Roman" w:hAnsi="Times New Roman" w:cs="Times New Roman"/>
          <w:lang w:val="en-GB"/>
        </w:rPr>
        <w:t xml:space="preserve">Bergsmo, Kruger and Bekou, </w:t>
      </w:r>
      <w:r w:rsidRPr="00CB29A8">
        <w:rPr>
          <w:rFonts w:ascii="Times New Roman" w:hAnsi="Times New Roman" w:cs="Times New Roman"/>
          <w:i/>
          <w:lang w:val="en-GB"/>
        </w:rPr>
        <w:t>supra</w:t>
      </w:r>
      <w:r w:rsidRPr="00CB29A8">
        <w:rPr>
          <w:rFonts w:ascii="Times New Roman" w:hAnsi="Times New Roman" w:cs="Times New Roman"/>
          <w:lang w:val="en-GB"/>
        </w:rPr>
        <w:t xml:space="preserve"> note </w:t>
      </w:r>
      <w:r w:rsidRPr="00A629E3">
        <w:rPr>
          <w:rFonts w:ascii="Times New Roman" w:hAnsi="Times New Roman" w:cs="Times New Roman"/>
          <w:lang w:val="en-GB"/>
        </w:rPr>
        <w:t>42</w:t>
      </w:r>
      <w:r w:rsidRPr="00CB29A8">
        <w:rPr>
          <w:rFonts w:ascii="Times New Roman" w:hAnsi="Times New Roman" w:cs="Times New Roman"/>
          <w:lang w:val="en-GB"/>
        </w:rPr>
        <w:t>, at 1376.</w:t>
      </w:r>
    </w:p>
  </w:footnote>
  <w:footnote w:id="68">
    <w:p w:rsidR="00C81D41" w:rsidRPr="00CB29A8" w:rsidRDefault="00C81D41" w:rsidP="006D43E1">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lang w:val="en-GB"/>
        </w:rPr>
        <w:t xml:space="preserve">According to the Decision, § 21: </w:t>
      </w:r>
      <w:r>
        <w:rPr>
          <w:rFonts w:ascii="Times New Roman" w:hAnsi="Times New Roman" w:cs="Times New Roman"/>
          <w:lang w:val="en-GB"/>
        </w:rPr>
        <w:t>‘</w:t>
      </w:r>
      <w:r w:rsidRPr="00CB29A8">
        <w:rPr>
          <w:rFonts w:ascii="Times New Roman" w:hAnsi="Times New Roman" w:cs="Times New Roman"/>
          <w:lang w:val="en-GB"/>
        </w:rPr>
        <w:t xml:space="preserve">The Chamber is attentive to the Court’s previous decisions in relation to the interpretation of the requirement of </w:t>
      </w:r>
      <w:r>
        <w:rPr>
          <w:rFonts w:ascii="Times New Roman" w:hAnsi="Times New Roman" w:cs="Times New Roman"/>
          <w:lang w:val="en-GB"/>
        </w:rPr>
        <w:t>‘</w:t>
      </w:r>
      <w:r w:rsidRPr="00CB29A8">
        <w:rPr>
          <w:rFonts w:ascii="Times New Roman" w:hAnsi="Times New Roman" w:cs="Times New Roman"/>
          <w:lang w:val="en-GB"/>
        </w:rPr>
        <w:t>sufficient gravity</w:t>
      </w:r>
      <w:r>
        <w:rPr>
          <w:rFonts w:ascii="Times New Roman" w:hAnsi="Times New Roman" w:cs="Times New Roman"/>
          <w:lang w:val="en-GB"/>
        </w:rPr>
        <w:t>’</w:t>
      </w:r>
      <w:r w:rsidRPr="00CB29A8">
        <w:rPr>
          <w:rFonts w:ascii="Times New Roman" w:hAnsi="Times New Roman" w:cs="Times New Roman"/>
          <w:lang w:val="en-GB"/>
        </w:rPr>
        <w:t xml:space="preserve"> within the meaning of article 17(1)(d) of the Statute, </w:t>
      </w:r>
      <w:r w:rsidRPr="00CB29A8">
        <w:rPr>
          <w:rFonts w:ascii="Times New Roman" w:hAnsi="Times New Roman" w:cs="Times New Roman"/>
          <w:i/>
          <w:lang w:val="en-GB"/>
        </w:rPr>
        <w:t xml:space="preserve">in particular with respect of the assessment of the gravity of </w:t>
      </w:r>
      <w:r>
        <w:rPr>
          <w:rFonts w:ascii="Times New Roman" w:hAnsi="Times New Roman" w:cs="Times New Roman"/>
          <w:i/>
          <w:lang w:val="en-GB"/>
        </w:rPr>
        <w:t>‘</w:t>
      </w:r>
      <w:r w:rsidRPr="00CB29A8">
        <w:rPr>
          <w:rFonts w:ascii="Times New Roman" w:hAnsi="Times New Roman" w:cs="Times New Roman"/>
          <w:i/>
          <w:lang w:val="en-GB"/>
        </w:rPr>
        <w:t>potential cases</w:t>
      </w:r>
      <w:r>
        <w:rPr>
          <w:rFonts w:ascii="Times New Roman" w:hAnsi="Times New Roman" w:cs="Times New Roman"/>
          <w:i/>
          <w:lang w:val="en-GB"/>
        </w:rPr>
        <w:t>’</w:t>
      </w:r>
      <w:r w:rsidRPr="00CB29A8">
        <w:rPr>
          <w:rFonts w:ascii="Times New Roman" w:hAnsi="Times New Roman" w:cs="Times New Roman"/>
          <w:i/>
          <w:lang w:val="en-GB"/>
        </w:rPr>
        <w:t xml:space="preserve"> at the pre-investigative stage</w:t>
      </w:r>
      <w:r w:rsidRPr="00CB29A8">
        <w:rPr>
          <w:rFonts w:ascii="Times New Roman" w:hAnsi="Times New Roman" w:cs="Times New Roman"/>
          <w:lang w:val="en-GB"/>
        </w:rPr>
        <w:t xml:space="preserve"> </w:t>
      </w:r>
      <w:r w:rsidRPr="00CB29A8">
        <w:rPr>
          <w:rFonts w:ascii="Times New Roman" w:hAnsi="Times New Roman" w:cs="Times New Roman"/>
          <w:lang w:val="en-US"/>
        </w:rPr>
        <w:t>(emphasis added).</w:t>
      </w:r>
    </w:p>
  </w:footnote>
  <w:footnote w:id="69">
    <w:p w:rsidR="00C81D41" w:rsidRPr="00CB29A8" w:rsidRDefault="00C81D41" w:rsidP="00CB29A8">
      <w:pPr>
        <w:pStyle w:val="Default"/>
        <w:jc w:val="both"/>
        <w:rPr>
          <w:sz w:val="20"/>
          <w:szCs w:val="20"/>
          <w:lang w:val="en-US"/>
        </w:rPr>
      </w:pPr>
      <w:r w:rsidRPr="00CB29A8">
        <w:rPr>
          <w:rStyle w:val="Rimandonotaapidipagina"/>
          <w:sz w:val="20"/>
          <w:szCs w:val="20"/>
        </w:rPr>
        <w:footnoteRef/>
      </w:r>
      <w:r w:rsidRPr="00CB29A8">
        <w:rPr>
          <w:sz w:val="20"/>
          <w:szCs w:val="20"/>
          <w:lang w:val="en-US"/>
        </w:rPr>
        <w:t xml:space="preserve">  ICC-01/15-12, </w:t>
      </w:r>
      <w:r w:rsidRPr="00CB29A8">
        <w:rPr>
          <w:bCs/>
          <w:sz w:val="20"/>
          <w:szCs w:val="20"/>
          <w:lang w:val="en-US"/>
        </w:rPr>
        <w:t xml:space="preserve">Situation in Georgia, </w:t>
      </w:r>
      <w:r w:rsidRPr="0056638A">
        <w:rPr>
          <w:bCs/>
          <w:i/>
          <w:sz w:val="20"/>
          <w:szCs w:val="20"/>
          <w:lang w:val="en-US"/>
        </w:rPr>
        <w:t>supra</w:t>
      </w:r>
      <w:r>
        <w:rPr>
          <w:bCs/>
          <w:sz w:val="20"/>
          <w:szCs w:val="20"/>
          <w:lang w:val="en-US"/>
        </w:rPr>
        <w:t xml:space="preserve"> note </w:t>
      </w:r>
      <w:r w:rsidRPr="00A629E3">
        <w:rPr>
          <w:bCs/>
          <w:sz w:val="20"/>
          <w:szCs w:val="20"/>
          <w:lang w:val="en-US"/>
        </w:rPr>
        <w:t>63</w:t>
      </w:r>
      <w:r w:rsidRPr="00CB29A8">
        <w:rPr>
          <w:bCs/>
          <w:sz w:val="20"/>
          <w:szCs w:val="20"/>
          <w:lang w:val="en-US"/>
        </w:rPr>
        <w:t>,</w:t>
      </w:r>
      <w:r w:rsidRPr="00CB29A8">
        <w:rPr>
          <w:b/>
          <w:bCs/>
          <w:sz w:val="20"/>
          <w:szCs w:val="20"/>
          <w:lang w:val="en-US"/>
        </w:rPr>
        <w:t xml:space="preserve"> </w:t>
      </w:r>
      <w:r w:rsidRPr="00CB29A8">
        <w:rPr>
          <w:sz w:val="20"/>
          <w:szCs w:val="20"/>
          <w:lang w:val="en-GB"/>
        </w:rPr>
        <w:t>§ 36.</w:t>
      </w:r>
    </w:p>
  </w:footnote>
  <w:footnote w:id="70">
    <w:p w:rsidR="00C81D41" w:rsidRPr="00CB29A8" w:rsidRDefault="00C81D41" w:rsidP="00CB29A8">
      <w:pPr>
        <w:pStyle w:val="Testonotaapidipagina"/>
        <w:tabs>
          <w:tab w:val="left" w:pos="3675"/>
        </w:tabs>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lang w:val="en-GB"/>
        </w:rPr>
        <w:t>O. D</w:t>
      </w:r>
      <w:r w:rsidRPr="00CB29A8">
        <w:rPr>
          <w:rFonts w:ascii="Times New Roman" w:hAnsi="Times New Roman" w:cs="Times New Roman"/>
          <w:iCs/>
          <w:lang w:val="en-GB"/>
        </w:rPr>
        <w:t>ö</w:t>
      </w:r>
      <w:r w:rsidRPr="00CB29A8">
        <w:rPr>
          <w:rFonts w:ascii="Times New Roman" w:hAnsi="Times New Roman" w:cs="Times New Roman"/>
          <w:lang w:val="en-GB"/>
        </w:rPr>
        <w:t>rr, ‘Article 31 – General Rule of Interpretation’, in O. D</w:t>
      </w:r>
      <w:r w:rsidRPr="00CB29A8">
        <w:rPr>
          <w:rFonts w:ascii="Times New Roman" w:hAnsi="Times New Roman" w:cs="Times New Roman"/>
          <w:iCs/>
          <w:lang w:val="en-GB"/>
        </w:rPr>
        <w:t>ö</w:t>
      </w:r>
      <w:r w:rsidRPr="00CB29A8">
        <w:rPr>
          <w:rFonts w:ascii="Times New Roman" w:hAnsi="Times New Roman" w:cs="Times New Roman"/>
          <w:lang w:val="en-GB"/>
        </w:rPr>
        <w:t xml:space="preserve">rr and K. Schmalenbach (eds), </w:t>
      </w:r>
      <w:r w:rsidRPr="00CB29A8">
        <w:rPr>
          <w:rFonts w:ascii="Times New Roman" w:hAnsi="Times New Roman" w:cs="Times New Roman"/>
          <w:i/>
          <w:lang w:val="en-GB"/>
        </w:rPr>
        <w:t>Vienna Convention on the Law of Treaties: A Commentary</w:t>
      </w:r>
      <w:r w:rsidRPr="00CB29A8">
        <w:rPr>
          <w:rFonts w:ascii="Times New Roman" w:hAnsi="Times New Roman" w:cs="Times New Roman"/>
          <w:lang w:val="en-GB"/>
        </w:rPr>
        <w:t xml:space="preserve"> (Springer-Verlag, 2012) 521, at 541.</w:t>
      </w:r>
    </w:p>
  </w:footnote>
  <w:footnote w:id="71">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Schabas, </w:t>
      </w:r>
      <w:r w:rsidRPr="005D65C3">
        <w:rPr>
          <w:rFonts w:ascii="Times New Roman" w:hAnsi="Times New Roman" w:cs="Times New Roman"/>
          <w:i/>
          <w:lang w:val="en-US"/>
        </w:rPr>
        <w:t>The International Criminal Court</w:t>
      </w:r>
      <w:r w:rsidRPr="00CB29A8">
        <w:rPr>
          <w:rFonts w:ascii="Times New Roman" w:hAnsi="Times New Roman" w:cs="Times New Roman"/>
          <w:lang w:val="en-US"/>
        </w:rPr>
        <w:t xml:space="preserve">, </w:t>
      </w:r>
      <w:r w:rsidRPr="00CB29A8">
        <w:rPr>
          <w:rFonts w:ascii="Times New Roman" w:hAnsi="Times New Roman" w:cs="Times New Roman"/>
          <w:i/>
          <w:lang w:val="en-US"/>
        </w:rPr>
        <w:t>supra</w:t>
      </w:r>
      <w:r>
        <w:rPr>
          <w:rFonts w:ascii="Times New Roman" w:hAnsi="Times New Roman" w:cs="Times New Roman"/>
          <w:lang w:val="en-US"/>
        </w:rPr>
        <w:t xml:space="preserve"> note </w:t>
      </w:r>
      <w:r w:rsidRPr="00A629E3">
        <w:rPr>
          <w:rFonts w:ascii="Times New Roman" w:hAnsi="Times New Roman" w:cs="Times New Roman"/>
          <w:lang w:val="en-US"/>
        </w:rPr>
        <w:t>42</w:t>
      </w:r>
      <w:r w:rsidRPr="00CB29A8">
        <w:rPr>
          <w:rFonts w:ascii="Times New Roman" w:hAnsi="Times New Roman" w:cs="Times New Roman"/>
          <w:lang w:val="en-US"/>
        </w:rPr>
        <w:t>, at 666.</w:t>
      </w:r>
    </w:p>
  </w:footnote>
  <w:footnote w:id="72">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The fact that the power to review a decision of the OTP is not only limited to its outcome but also to its decisional process is acknowledged – albeit in speculative terms – even in PTC I Decision, Dissenting Opinion of Judge Kovács, </w:t>
      </w:r>
      <w:r w:rsidRPr="00CB29A8">
        <w:rPr>
          <w:rFonts w:ascii="Times New Roman" w:hAnsi="Times New Roman" w:cs="Times New Roman"/>
          <w:lang w:val="en-GB"/>
        </w:rPr>
        <w:t>§ 12.</w:t>
      </w:r>
    </w:p>
  </w:footnote>
  <w:footnote w:id="73">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lang w:val="en-GB"/>
        </w:rPr>
        <w:t>Decision Not to Investigate, § 68 (emphasis added).</w:t>
      </w:r>
    </w:p>
  </w:footnote>
  <w:footnote w:id="74">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i/>
          <w:lang w:val="en-US"/>
        </w:rPr>
        <w:t>Ibid.</w:t>
      </w:r>
      <w:r w:rsidRPr="00CB29A8">
        <w:rPr>
          <w:rFonts w:ascii="Times New Roman" w:hAnsi="Times New Roman" w:cs="Times New Roman"/>
          <w:lang w:val="en-US"/>
        </w:rPr>
        <w:t>: ‘Taking into account these considerations and the available information, it appears that at this stage there is not a reasonable basis to believe that the mistreatment of passengers also included deliberate denial of medical treatment.’</w:t>
      </w:r>
    </w:p>
  </w:footnote>
  <w:footnote w:id="75">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ICC-01/13-29-Red, Public Redacted Version of Prosecution's Consolidated Response to the Observations of the Victims, 14 July 2015, </w:t>
      </w:r>
      <w:r w:rsidRPr="00CB29A8">
        <w:rPr>
          <w:rFonts w:ascii="Times New Roman" w:hAnsi="Times New Roman" w:cs="Times New Roman"/>
          <w:lang w:val="en-GB"/>
        </w:rPr>
        <w:t xml:space="preserve">§§ </w:t>
      </w:r>
      <w:r w:rsidRPr="00CB29A8">
        <w:rPr>
          <w:rFonts w:ascii="Times New Roman" w:hAnsi="Times New Roman" w:cs="Times New Roman"/>
          <w:lang w:val="en-US"/>
        </w:rPr>
        <w:t>48, 54, 158.</w:t>
      </w:r>
    </w:p>
  </w:footnote>
  <w:footnote w:id="76">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lang w:val="en-GB"/>
        </w:rPr>
        <w:t>Decision Not to Investigate, § 138 (emphasis added).</w:t>
      </w:r>
    </w:p>
  </w:footnote>
  <w:footnote w:id="77">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i/>
          <w:lang w:val="en-US"/>
        </w:rPr>
        <w:t>Ibid.</w:t>
      </w:r>
    </w:p>
  </w:footnote>
  <w:footnote w:id="78">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ICC-01/13-29-Red, Public Redacted Version of Prosecution's Consolidated Response to the Observations of the Victims, </w:t>
      </w:r>
      <w:r w:rsidRPr="005D65C3">
        <w:rPr>
          <w:rFonts w:ascii="Times New Roman" w:hAnsi="Times New Roman" w:cs="Times New Roman"/>
          <w:i/>
          <w:lang w:val="en-US"/>
        </w:rPr>
        <w:t>supra</w:t>
      </w:r>
      <w:r>
        <w:rPr>
          <w:rFonts w:ascii="Times New Roman" w:hAnsi="Times New Roman" w:cs="Times New Roman"/>
          <w:lang w:val="en-US"/>
        </w:rPr>
        <w:t xml:space="preserve"> note </w:t>
      </w:r>
      <w:r w:rsidRPr="00A629E3">
        <w:rPr>
          <w:rFonts w:ascii="Times New Roman" w:hAnsi="Times New Roman" w:cs="Times New Roman"/>
          <w:lang w:val="en-US"/>
        </w:rPr>
        <w:t>73</w:t>
      </w:r>
      <w:r w:rsidRPr="00CB29A8">
        <w:rPr>
          <w:rFonts w:ascii="Times New Roman" w:hAnsi="Times New Roman" w:cs="Times New Roman"/>
          <w:lang w:val="en-US"/>
        </w:rPr>
        <w:t xml:space="preserve">, </w:t>
      </w:r>
      <w:r w:rsidRPr="00CB29A8">
        <w:rPr>
          <w:rFonts w:ascii="Times New Roman" w:hAnsi="Times New Roman" w:cs="Times New Roman"/>
          <w:lang w:val="en-GB"/>
        </w:rPr>
        <w:t>§ 48, fn 94.</w:t>
      </w:r>
    </w:p>
  </w:footnote>
  <w:footnote w:id="79">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This is particularly strange since the OTP itself emphasised a number of times that it is not a judicial body (see, e.g., Prosecution Response to the Application for Review, § 14). </w:t>
      </w:r>
    </w:p>
  </w:footnote>
  <w:footnote w:id="80">
    <w:p w:rsidR="00C81D41" w:rsidRPr="00CB29A8" w:rsidRDefault="00C81D41" w:rsidP="00CB29A8">
      <w:pPr>
        <w:pStyle w:val="Testonotaapidipagina"/>
        <w:jc w:val="both"/>
        <w:rPr>
          <w:rFonts w:ascii="Times New Roman" w:hAnsi="Times New Roman" w:cs="Times New Roman"/>
          <w:lang w:val="fr-FR"/>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Article 22(2) ICCSt. does not refer to preliminary investigations and regards only the definition of the crimes, not also the determination of sufficient gravity at this stage ; gravity is a condition of admissibility of the case and not a component of the crimes. </w:t>
      </w:r>
      <w:r w:rsidRPr="00CB29A8">
        <w:rPr>
          <w:rFonts w:ascii="Times New Roman" w:hAnsi="Times New Roman" w:cs="Times New Roman"/>
          <w:lang w:val="fr-FR"/>
        </w:rPr>
        <w:t xml:space="preserve">According to Bitti, </w:t>
      </w:r>
      <w:r w:rsidRPr="00CB29A8">
        <w:rPr>
          <w:rFonts w:ascii="Times New Roman" w:hAnsi="Times New Roman" w:cs="Times New Roman"/>
          <w:i/>
          <w:lang w:val="fr-FR"/>
        </w:rPr>
        <w:t>supra</w:t>
      </w:r>
      <w:r w:rsidRPr="00CB29A8">
        <w:rPr>
          <w:rFonts w:ascii="Times New Roman" w:hAnsi="Times New Roman" w:cs="Times New Roman"/>
          <w:lang w:val="fr-FR"/>
        </w:rPr>
        <w:t xml:space="preserve"> note </w:t>
      </w:r>
      <w:r w:rsidRPr="00A629E3">
        <w:rPr>
          <w:rFonts w:ascii="Times New Roman" w:hAnsi="Times New Roman" w:cs="Times New Roman"/>
          <w:lang w:val="fr-FR"/>
        </w:rPr>
        <w:t>64</w:t>
      </w:r>
      <w:r w:rsidRPr="00CB29A8">
        <w:rPr>
          <w:rFonts w:ascii="Times New Roman" w:hAnsi="Times New Roman" w:cs="Times New Roman"/>
          <w:lang w:val="fr-FR"/>
        </w:rPr>
        <w:t xml:space="preserve">, at 1191, ‘Par ailleurs la </w:t>
      </w:r>
      <w:r>
        <w:rPr>
          <w:rFonts w:ascii="Times New Roman" w:hAnsi="Times New Roman" w:cs="Times New Roman"/>
          <w:lang w:val="fr-FR"/>
        </w:rPr>
        <w:t>‘</w:t>
      </w:r>
      <w:r w:rsidRPr="00CB29A8">
        <w:rPr>
          <w:rFonts w:ascii="Times New Roman" w:hAnsi="Times New Roman" w:cs="Times New Roman"/>
          <w:lang w:val="fr-FR"/>
        </w:rPr>
        <w:t>base raisonnable</w:t>
      </w:r>
      <w:r>
        <w:rPr>
          <w:rFonts w:ascii="Times New Roman" w:hAnsi="Times New Roman" w:cs="Times New Roman"/>
          <w:lang w:val="fr-FR"/>
        </w:rPr>
        <w:t>’</w:t>
      </w:r>
      <w:r w:rsidRPr="00CB29A8">
        <w:rPr>
          <w:rFonts w:ascii="Times New Roman" w:hAnsi="Times New Roman" w:cs="Times New Roman"/>
          <w:lang w:val="fr-FR"/>
        </w:rPr>
        <w:t xml:space="preserve"> de l’article 53-1 vise exclusivement les crimes et non pas les personnes éventuellement responsables, car à a ce stade de la procédure il n’est pas individuelle’.</w:t>
      </w:r>
    </w:p>
  </w:footnote>
  <w:footnote w:id="81">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Heller, </w:t>
      </w:r>
      <w:r>
        <w:rPr>
          <w:rFonts w:ascii="Times New Roman" w:hAnsi="Times New Roman" w:cs="Times New Roman"/>
          <w:lang w:val="en-GB"/>
        </w:rPr>
        <w:t>‘</w:t>
      </w:r>
      <w:r w:rsidRPr="00CB29A8">
        <w:rPr>
          <w:rFonts w:ascii="Times New Roman" w:hAnsi="Times New Roman" w:cs="Times New Roman"/>
          <w:lang w:val="en-GB"/>
        </w:rPr>
        <w:t>The Pre-Trial Chamber’s</w:t>
      </w:r>
      <w:r>
        <w:rPr>
          <w:rFonts w:ascii="Times New Roman" w:hAnsi="Times New Roman" w:cs="Times New Roman"/>
          <w:lang w:val="en-GB"/>
        </w:rPr>
        <w:t>’</w:t>
      </w:r>
      <w:r w:rsidRPr="00CB29A8">
        <w:rPr>
          <w:rFonts w:ascii="Times New Roman" w:hAnsi="Times New Roman" w:cs="Times New Roman"/>
          <w:lang w:val="en-GB"/>
        </w:rPr>
        <w:t xml:space="preserve">, </w:t>
      </w:r>
      <w:r w:rsidRPr="00CB29A8">
        <w:rPr>
          <w:rFonts w:ascii="Times New Roman" w:hAnsi="Times New Roman" w:cs="Times New Roman"/>
          <w:i/>
          <w:lang w:val="en-GB"/>
        </w:rPr>
        <w:t>supra</w:t>
      </w:r>
      <w:r w:rsidRPr="00CB29A8">
        <w:rPr>
          <w:rFonts w:ascii="Times New Roman" w:hAnsi="Times New Roman" w:cs="Times New Roman"/>
          <w:lang w:val="en-GB"/>
        </w:rPr>
        <w:t xml:space="preserve"> note </w:t>
      </w:r>
      <w:r w:rsidRPr="00A629E3">
        <w:rPr>
          <w:rFonts w:ascii="Times New Roman" w:hAnsi="Times New Roman" w:cs="Times New Roman"/>
          <w:lang w:val="en-GB"/>
        </w:rPr>
        <w:t>33</w:t>
      </w:r>
      <w:r w:rsidRPr="00CB29A8">
        <w:rPr>
          <w:rFonts w:ascii="Times New Roman" w:hAnsi="Times New Roman" w:cs="Times New Roman"/>
          <w:lang w:val="en-GB"/>
        </w:rPr>
        <w:t xml:space="preserve">: </w:t>
      </w:r>
      <w:r>
        <w:rPr>
          <w:rFonts w:ascii="Times New Roman" w:hAnsi="Times New Roman" w:cs="Times New Roman"/>
          <w:lang w:val="en-GB"/>
        </w:rPr>
        <w:t>‘</w:t>
      </w:r>
      <w:r w:rsidRPr="00CB29A8">
        <w:rPr>
          <w:rFonts w:ascii="Times New Roman" w:hAnsi="Times New Roman" w:cs="Times New Roman"/>
          <w:lang w:val="en-GB"/>
        </w:rPr>
        <w:t>[T]</w:t>
      </w:r>
      <w:r w:rsidRPr="00CB29A8">
        <w:rPr>
          <w:rFonts w:ascii="Times New Roman" w:hAnsi="Times New Roman" w:cs="Times New Roman"/>
          <w:lang w:val="en-US"/>
        </w:rPr>
        <w:t xml:space="preserve">he PTC’s flawed decision was only possible because the OTP took the ill-advised step of releasing a 61-page document explaining why it had decided not to formally investigate the Comoros situation … Had the OTP not produced such a lengthy declination decision, </w:t>
      </w:r>
      <w:r>
        <w:rPr>
          <w:rFonts w:ascii="Times New Roman" w:hAnsi="Times New Roman" w:cs="Times New Roman"/>
          <w:lang w:val="en-US"/>
        </w:rPr>
        <w:t xml:space="preserve">the </w:t>
      </w:r>
      <w:r w:rsidRPr="00CB29A8">
        <w:rPr>
          <w:rFonts w:ascii="Times New Roman" w:hAnsi="Times New Roman" w:cs="Times New Roman"/>
          <w:lang w:val="en-US"/>
        </w:rPr>
        <w:t>PTC would have had nothing to review – and thus nothing to second guess. I’d hate to be the legal officer who sold Fatou Bensouda on the idea that the OTP should explain its reasoning in such detail.</w:t>
      </w:r>
      <w:r w:rsidRPr="00CB29A8">
        <w:rPr>
          <w:rFonts w:ascii="Times New Roman" w:hAnsi="Times New Roman" w:cs="Times New Roman"/>
          <w:lang w:val="en-GB"/>
        </w:rPr>
        <w:t>’</w:t>
      </w:r>
    </w:p>
  </w:footnote>
  <w:footnote w:id="82">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CB29A8">
        <w:rPr>
          <w:rFonts w:ascii="Times New Roman" w:hAnsi="Times New Roman" w:cs="Times New Roman"/>
          <w:i/>
          <w:lang w:val="en-US"/>
        </w:rPr>
        <w:t>Ibid.</w:t>
      </w:r>
      <w:r w:rsidRPr="00CB29A8">
        <w:rPr>
          <w:rFonts w:ascii="Times New Roman" w:hAnsi="Times New Roman" w:cs="Times New Roman"/>
          <w:lang w:val="en-US"/>
        </w:rPr>
        <w:t xml:space="preserve"> On the Pre-Trial Chamber’s power to review the Prosecution’s decision not to investigate in light of the principle of transparency, see also S. Zappalà, ‘Il Procuratore della Corte penale internazionale: luci ed ombre’, 82 </w:t>
      </w:r>
      <w:r w:rsidRPr="00CB29A8">
        <w:rPr>
          <w:rFonts w:ascii="Times New Roman" w:hAnsi="Times New Roman" w:cs="Times New Roman"/>
          <w:i/>
          <w:lang w:val="en-US"/>
        </w:rPr>
        <w:t>RDI</w:t>
      </w:r>
      <w:r w:rsidRPr="00CB29A8">
        <w:rPr>
          <w:rFonts w:ascii="Times New Roman" w:hAnsi="Times New Roman" w:cs="Times New Roman"/>
          <w:lang w:val="en-US"/>
        </w:rPr>
        <w:t xml:space="preserve"> (1999) 39, at 57.</w:t>
      </w:r>
    </w:p>
  </w:footnote>
  <w:footnote w:id="83">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PTC I Decision, § 13 (emphasis added). See also § 36.</w:t>
      </w:r>
    </w:p>
  </w:footnote>
  <w:footnote w:id="84">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Decision Not to Investigate, § 4.</w:t>
      </w:r>
    </w:p>
  </w:footnote>
  <w:footnote w:id="85">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See M</w:t>
      </w:r>
      <w:r>
        <w:rPr>
          <w:rFonts w:ascii="Times New Roman" w:hAnsi="Times New Roman" w:cs="Times New Roman"/>
          <w:lang w:val="en-US"/>
        </w:rPr>
        <w:t>.</w:t>
      </w:r>
      <w:r w:rsidRPr="00CB29A8">
        <w:rPr>
          <w:rFonts w:ascii="Times New Roman" w:hAnsi="Times New Roman" w:cs="Times New Roman"/>
          <w:lang w:val="en-US"/>
        </w:rPr>
        <w:t xml:space="preserve"> C. Bassiouni (ed)</w:t>
      </w:r>
      <w:r>
        <w:rPr>
          <w:rFonts w:ascii="Times New Roman" w:hAnsi="Times New Roman" w:cs="Times New Roman"/>
          <w:lang w:val="en-US"/>
        </w:rPr>
        <w:t>,</w:t>
      </w:r>
      <w:r w:rsidRPr="00CB29A8">
        <w:rPr>
          <w:rFonts w:ascii="Times New Roman" w:hAnsi="Times New Roman" w:cs="Times New Roman"/>
          <w:lang w:val="en-US"/>
        </w:rPr>
        <w:t xml:space="preserve"> </w:t>
      </w:r>
      <w:r w:rsidRPr="008D4C0A">
        <w:rPr>
          <w:rFonts w:ascii="Times New Roman" w:hAnsi="Times New Roman" w:cs="Times New Roman"/>
          <w:i/>
          <w:lang w:val="en-US"/>
        </w:rPr>
        <w:t>The Legislative History of the International Criminal Court, Vol 2: An Article-by-Article Evolution of the Statute from 1994–1998</w:t>
      </w:r>
      <w:r w:rsidRPr="00CB29A8">
        <w:rPr>
          <w:rFonts w:ascii="Times New Roman" w:hAnsi="Times New Roman" w:cs="Times New Roman"/>
          <w:lang w:val="en-US"/>
        </w:rPr>
        <w:t xml:space="preserve"> (Transnational Publishers, 2005)</w:t>
      </w:r>
      <w:r>
        <w:rPr>
          <w:rFonts w:ascii="Times New Roman" w:hAnsi="Times New Roman" w:cs="Times New Roman"/>
          <w:lang w:val="en-US"/>
        </w:rPr>
        <w:t>, at</w:t>
      </w:r>
      <w:r w:rsidRPr="00CB29A8">
        <w:rPr>
          <w:rFonts w:ascii="Times New Roman" w:hAnsi="Times New Roman" w:cs="Times New Roman"/>
          <w:lang w:val="en-US"/>
        </w:rPr>
        <w:t xml:space="preserve"> 97</w:t>
      </w:r>
      <w:r>
        <w:rPr>
          <w:rFonts w:ascii="Times New Roman" w:hAnsi="Times New Roman" w:cs="Times New Roman"/>
          <w:lang w:val="en-US"/>
        </w:rPr>
        <w:t>-</w:t>
      </w:r>
      <w:r w:rsidRPr="00CB29A8">
        <w:rPr>
          <w:rFonts w:ascii="Times New Roman" w:hAnsi="Times New Roman" w:cs="Times New Roman"/>
          <w:lang w:val="en-US"/>
        </w:rPr>
        <w:t xml:space="preserve">106.  </w:t>
      </w:r>
    </w:p>
  </w:footnote>
  <w:footnote w:id="86">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w:t>
      </w:r>
      <w:r w:rsidRPr="00CB29A8">
        <w:rPr>
          <w:rFonts w:ascii="Times New Roman" w:hAnsi="Times New Roman" w:cs="Times New Roman"/>
          <w:i/>
          <w:lang w:val="en-GB"/>
        </w:rPr>
        <w:t>Ibid</w:t>
      </w:r>
      <w:r w:rsidRPr="00CB29A8">
        <w:rPr>
          <w:rFonts w:ascii="Times New Roman" w:hAnsi="Times New Roman" w:cs="Times New Roman"/>
          <w:lang w:val="en-GB"/>
        </w:rPr>
        <w:t xml:space="preserve">., §145. For the </w:t>
      </w:r>
      <w:r>
        <w:rPr>
          <w:rFonts w:ascii="Times New Roman" w:hAnsi="Times New Roman" w:cs="Times New Roman"/>
          <w:lang w:val="en-GB"/>
        </w:rPr>
        <w:t xml:space="preserve">specific </w:t>
      </w:r>
      <w:r w:rsidRPr="00CB29A8">
        <w:rPr>
          <w:rFonts w:ascii="Times New Roman" w:hAnsi="Times New Roman" w:cs="Times New Roman"/>
          <w:lang w:val="en-GB"/>
        </w:rPr>
        <w:t xml:space="preserve">case, see ICC-02/05-02/09-233-Red, </w:t>
      </w:r>
      <w:r w:rsidRPr="00CB29A8">
        <w:rPr>
          <w:rFonts w:ascii="Times New Roman" w:hAnsi="Times New Roman" w:cs="Times New Roman"/>
          <w:i/>
          <w:lang w:val="en-GB"/>
        </w:rPr>
        <w:t>supra</w:t>
      </w:r>
      <w:r w:rsidRPr="00CB29A8">
        <w:rPr>
          <w:rFonts w:ascii="Times New Roman" w:hAnsi="Times New Roman" w:cs="Times New Roman"/>
          <w:lang w:val="en-GB"/>
        </w:rPr>
        <w:t xml:space="preserve"> note </w:t>
      </w:r>
      <w:r w:rsidRPr="00A629E3">
        <w:rPr>
          <w:rFonts w:ascii="Times New Roman" w:hAnsi="Times New Roman" w:cs="Times New Roman"/>
          <w:lang w:val="en-GB"/>
        </w:rPr>
        <w:t>43</w:t>
      </w:r>
      <w:r w:rsidRPr="00CB29A8">
        <w:rPr>
          <w:rFonts w:ascii="Times New Roman" w:hAnsi="Times New Roman" w:cs="Times New Roman"/>
          <w:lang w:val="en-GB"/>
        </w:rPr>
        <w:t>.</w:t>
      </w:r>
    </w:p>
  </w:footnote>
  <w:footnote w:id="87">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 Decision Not to Investigate, § 138: ‘’[It]t has to be acknowledged that the total number of victims of the flotilla incident reached relatively limited proportions </w:t>
      </w:r>
      <w:r w:rsidRPr="00CB29A8">
        <w:rPr>
          <w:rFonts w:ascii="Times New Roman" w:hAnsi="Times New Roman" w:cs="Times New Roman"/>
          <w:i/>
          <w:lang w:val="en-GB"/>
        </w:rPr>
        <w:t>as compared</w:t>
      </w:r>
      <w:r w:rsidRPr="00CB29A8">
        <w:rPr>
          <w:rFonts w:ascii="Times New Roman" w:hAnsi="Times New Roman" w:cs="Times New Roman"/>
          <w:lang w:val="en-GB"/>
        </w:rPr>
        <w:t xml:space="preserve">, generally, </w:t>
      </w:r>
      <w:r w:rsidRPr="00CB29A8">
        <w:rPr>
          <w:rFonts w:ascii="Times New Roman" w:hAnsi="Times New Roman" w:cs="Times New Roman"/>
          <w:i/>
          <w:lang w:val="en-GB"/>
        </w:rPr>
        <w:t>to other cases investigated by the Office</w:t>
      </w:r>
      <w:r w:rsidRPr="00CB29A8">
        <w:rPr>
          <w:rFonts w:ascii="Times New Roman" w:hAnsi="Times New Roman" w:cs="Times New Roman"/>
          <w:lang w:val="en-GB"/>
        </w:rPr>
        <w:t>’ (emph</w:t>
      </w:r>
      <w:r>
        <w:rPr>
          <w:rFonts w:ascii="Times New Roman" w:hAnsi="Times New Roman" w:cs="Times New Roman"/>
          <w:lang w:val="en-GB"/>
        </w:rPr>
        <w:t>asis added).  See also §</w:t>
      </w:r>
      <w:r w:rsidRPr="00CB29A8">
        <w:rPr>
          <w:rFonts w:ascii="Times New Roman" w:hAnsi="Times New Roman" w:cs="Times New Roman"/>
          <w:lang w:val="en-GB"/>
        </w:rPr>
        <w:t>§</w:t>
      </w:r>
      <w:r>
        <w:rPr>
          <w:rFonts w:ascii="Times New Roman" w:hAnsi="Times New Roman" w:cs="Times New Roman"/>
          <w:lang w:val="en-GB"/>
        </w:rPr>
        <w:t xml:space="preserve"> 145,</w:t>
      </w:r>
      <w:r w:rsidRPr="00CB29A8">
        <w:rPr>
          <w:rFonts w:ascii="Times New Roman" w:hAnsi="Times New Roman" w:cs="Times New Roman"/>
          <w:lang w:val="en-GB"/>
        </w:rPr>
        <w:t xml:space="preserve"> 146.</w:t>
      </w:r>
    </w:p>
  </w:footnote>
  <w:footnote w:id="88">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For more on this point, see </w:t>
      </w:r>
      <w:r w:rsidRPr="00CB29A8">
        <w:rPr>
          <w:rFonts w:ascii="Times New Roman" w:hAnsi="Times New Roman" w:cs="Times New Roman"/>
          <w:lang w:val="en-GB"/>
        </w:rPr>
        <w:t xml:space="preserve">Bergsmo, Kruger and Bekou, </w:t>
      </w:r>
      <w:r w:rsidRPr="00CB29A8">
        <w:rPr>
          <w:rFonts w:ascii="Times New Roman" w:hAnsi="Times New Roman" w:cs="Times New Roman"/>
          <w:i/>
          <w:lang w:val="en-GB"/>
        </w:rPr>
        <w:t>supra</w:t>
      </w:r>
      <w:r w:rsidRPr="00CB29A8">
        <w:rPr>
          <w:rFonts w:ascii="Times New Roman" w:hAnsi="Times New Roman" w:cs="Times New Roman"/>
          <w:lang w:val="en-GB"/>
        </w:rPr>
        <w:t xml:space="preserve"> note </w:t>
      </w:r>
      <w:r w:rsidRPr="00A629E3">
        <w:rPr>
          <w:rFonts w:ascii="Times New Roman" w:hAnsi="Times New Roman" w:cs="Times New Roman"/>
          <w:lang w:val="en-GB"/>
        </w:rPr>
        <w:t>42</w:t>
      </w:r>
      <w:r w:rsidRPr="00CB29A8">
        <w:rPr>
          <w:rFonts w:ascii="Times New Roman" w:hAnsi="Times New Roman" w:cs="Times New Roman"/>
          <w:lang w:val="en-GB"/>
        </w:rPr>
        <w:t>, at 1373.</w:t>
      </w:r>
    </w:p>
  </w:footnote>
  <w:footnote w:id="89">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According to A. Bianchi, ‘Textual interpretation and (international) law reading: the myth of (in)determinacy and the genealogy of meaning’, in P.H.F. Bekker, R. Dolzer and M. Waibel (eds), </w:t>
      </w:r>
      <w:r w:rsidRPr="00CB29A8">
        <w:rPr>
          <w:rFonts w:ascii="Times New Roman" w:hAnsi="Times New Roman" w:cs="Times New Roman"/>
          <w:bCs/>
          <w:i/>
          <w:lang w:val="en-GB"/>
        </w:rPr>
        <w:t>Making Transnational Law Work in the Global Economy: Essays in Honour of Detlev Vagts</w:t>
      </w:r>
      <w:r w:rsidRPr="00CB29A8">
        <w:rPr>
          <w:rFonts w:ascii="Times New Roman" w:hAnsi="Times New Roman" w:cs="Times New Roman"/>
          <w:bCs/>
          <w:lang w:val="en-GB"/>
        </w:rPr>
        <w:t xml:space="preserve"> (Cambridge University Press, 2010) 34, at 40</w:t>
      </w:r>
      <w:r>
        <w:rPr>
          <w:rFonts w:ascii="Times New Roman" w:hAnsi="Times New Roman" w:cs="Times New Roman"/>
          <w:bCs/>
          <w:lang w:val="en-GB"/>
        </w:rPr>
        <w:t xml:space="preserve">: </w:t>
      </w:r>
      <w:r w:rsidRPr="00CB29A8">
        <w:rPr>
          <w:rFonts w:ascii="Times New Roman" w:hAnsi="Times New Roman" w:cs="Times New Roman"/>
          <w:lang w:val="en-GB"/>
        </w:rPr>
        <w:t>‘</w:t>
      </w:r>
      <w:r>
        <w:rPr>
          <w:rFonts w:ascii="Times New Roman" w:hAnsi="Times New Roman" w:cs="Times New Roman"/>
          <w:lang w:val="en-GB"/>
        </w:rPr>
        <w:t>[W]</w:t>
      </w:r>
      <w:r w:rsidRPr="00CB29A8">
        <w:rPr>
          <w:rFonts w:ascii="Times New Roman" w:hAnsi="Times New Roman" w:cs="Times New Roman"/>
          <w:lang w:val="en-GB"/>
        </w:rPr>
        <w:t xml:space="preserve">hat makes the meaning </w:t>
      </w:r>
      <w:r>
        <w:rPr>
          <w:rFonts w:ascii="Times New Roman" w:hAnsi="Times New Roman" w:cs="Times New Roman"/>
          <w:lang w:val="en-GB"/>
        </w:rPr>
        <w:t>of a word ‘plain’, ‘clear’, or ‘</w:t>
      </w:r>
      <w:r w:rsidRPr="00CB29A8">
        <w:rPr>
          <w:rFonts w:ascii="Times New Roman" w:hAnsi="Times New Roman" w:cs="Times New Roman"/>
          <w:lang w:val="en-GB"/>
        </w:rPr>
        <w:t>unambiguous</w:t>
      </w:r>
      <w:r>
        <w:rPr>
          <w:rFonts w:ascii="Times New Roman" w:hAnsi="Times New Roman" w:cs="Times New Roman"/>
          <w:lang w:val="en-GB"/>
        </w:rPr>
        <w:t>’</w:t>
      </w:r>
      <w:r w:rsidRPr="00CB29A8">
        <w:rPr>
          <w:rFonts w:ascii="Times New Roman" w:hAnsi="Times New Roman" w:cs="Times New Roman"/>
          <w:lang w:val="en-GB"/>
        </w:rPr>
        <w:t xml:space="preserve"> is not any linguistic property the word may have but rather the context in which it is used and the code used for communication in a particular situation by a certain community.’</w:t>
      </w:r>
    </w:p>
  </w:footnote>
  <w:footnote w:id="90">
    <w:p w:rsidR="00C81D41" w:rsidRPr="00CB29A8" w:rsidRDefault="00C81D41" w:rsidP="00CB29A8">
      <w:pPr>
        <w:pStyle w:val="Testonotaapidipagina"/>
        <w:jc w:val="both"/>
        <w:rPr>
          <w:rFonts w:ascii="Times New Roman" w:hAnsi="Times New Roman" w:cs="Times New Roman"/>
          <w:lang w:val="en-GB"/>
        </w:rPr>
      </w:pPr>
      <w:r w:rsidRPr="00CB29A8">
        <w:rPr>
          <w:rStyle w:val="Rimandonotaapidipagina"/>
          <w:rFonts w:ascii="Times New Roman" w:hAnsi="Times New Roman" w:cs="Times New Roman"/>
          <w:lang w:val="en-GB"/>
        </w:rPr>
        <w:footnoteRef/>
      </w:r>
      <w:r w:rsidRPr="00CB29A8">
        <w:rPr>
          <w:rFonts w:ascii="Times New Roman" w:hAnsi="Times New Roman" w:cs="Times New Roman"/>
          <w:lang w:val="en-GB"/>
        </w:rPr>
        <w:t xml:space="preserve">This point is masterfully explicated by Bianchi, </w:t>
      </w:r>
      <w:r w:rsidRPr="00CB29A8">
        <w:rPr>
          <w:rFonts w:ascii="Times New Roman" w:hAnsi="Times New Roman" w:cs="Times New Roman"/>
          <w:i/>
          <w:lang w:val="en-GB"/>
        </w:rPr>
        <w:t>supra</w:t>
      </w:r>
      <w:r w:rsidRPr="00CB29A8">
        <w:rPr>
          <w:rFonts w:ascii="Times New Roman" w:hAnsi="Times New Roman" w:cs="Times New Roman"/>
          <w:lang w:val="en-GB"/>
        </w:rPr>
        <w:t xml:space="preserve"> note </w:t>
      </w:r>
      <w:r>
        <w:rPr>
          <w:rFonts w:ascii="Times New Roman" w:hAnsi="Times New Roman" w:cs="Times New Roman"/>
          <w:lang w:val="en-GB"/>
        </w:rPr>
        <w:t>87</w:t>
      </w:r>
      <w:r w:rsidRPr="00CB29A8">
        <w:rPr>
          <w:rFonts w:ascii="Times New Roman" w:hAnsi="Times New Roman" w:cs="Times New Roman"/>
          <w:lang w:val="en-GB"/>
        </w:rPr>
        <w:t>, 45-47.</w:t>
      </w:r>
    </w:p>
  </w:footnote>
  <w:footnote w:id="91">
    <w:p w:rsidR="00C81D41" w:rsidRPr="00CB29A8" w:rsidRDefault="00C81D41" w:rsidP="00CB29A8">
      <w:pPr>
        <w:pStyle w:val="Testonotaapidipagina"/>
        <w:jc w:val="both"/>
        <w:rPr>
          <w:rFonts w:ascii="Times New Roman" w:hAnsi="Times New Roman" w:cs="Times New Roman"/>
        </w:rPr>
      </w:pPr>
      <w:r w:rsidRPr="00CB29A8">
        <w:rPr>
          <w:rStyle w:val="Rimandonotaapidipagina"/>
          <w:rFonts w:ascii="Times New Roman" w:hAnsi="Times New Roman" w:cs="Times New Roman"/>
          <w:lang w:val="en-GB"/>
        </w:rPr>
        <w:footnoteRef/>
      </w:r>
      <w:r w:rsidRPr="00CB29A8">
        <w:rPr>
          <w:rFonts w:ascii="Times New Roman" w:hAnsi="Times New Roman" w:cs="Times New Roman"/>
        </w:rPr>
        <w:t xml:space="preserve">Yasseen, </w:t>
      </w:r>
      <w:r w:rsidRPr="00CB29A8">
        <w:rPr>
          <w:rFonts w:ascii="Times New Roman" w:hAnsi="Times New Roman" w:cs="Times New Roman"/>
          <w:i/>
        </w:rPr>
        <w:t>supra</w:t>
      </w:r>
      <w:r w:rsidRPr="00CB29A8">
        <w:rPr>
          <w:rFonts w:ascii="Times New Roman" w:hAnsi="Times New Roman" w:cs="Times New Roman"/>
        </w:rPr>
        <w:t xml:space="preserve"> note </w:t>
      </w:r>
      <w:r>
        <w:rPr>
          <w:rFonts w:ascii="Times New Roman" w:hAnsi="Times New Roman" w:cs="Times New Roman"/>
        </w:rPr>
        <w:t>56</w:t>
      </w:r>
      <w:r w:rsidRPr="00CB29A8">
        <w:rPr>
          <w:rFonts w:ascii="Times New Roman" w:hAnsi="Times New Roman" w:cs="Times New Roman"/>
        </w:rPr>
        <w:t xml:space="preserve">, </w:t>
      </w:r>
      <w:r>
        <w:rPr>
          <w:rFonts w:ascii="Times New Roman" w:hAnsi="Times New Roman" w:cs="Times New Roman"/>
        </w:rPr>
        <w:t xml:space="preserve">at </w:t>
      </w:r>
      <w:r w:rsidRPr="00CB29A8">
        <w:rPr>
          <w:rFonts w:ascii="Times New Roman" w:hAnsi="Times New Roman" w:cs="Times New Roman"/>
        </w:rPr>
        <w:t xml:space="preserve">10. </w:t>
      </w:r>
    </w:p>
  </w:footnote>
  <w:footnote w:id="92">
    <w:p w:rsidR="00C81D41" w:rsidRPr="00CB29A8" w:rsidRDefault="00C81D41" w:rsidP="00CB29A8">
      <w:pPr>
        <w:pStyle w:val="Testonotaapidipagina"/>
        <w:jc w:val="both"/>
        <w:rPr>
          <w:rFonts w:ascii="Times New Roman" w:hAnsi="Times New Roman" w:cs="Times New Roman"/>
        </w:rPr>
      </w:pPr>
      <w:r w:rsidRPr="00CB29A8">
        <w:rPr>
          <w:rStyle w:val="Rimandonotaapidipagina"/>
          <w:rFonts w:ascii="Times New Roman" w:hAnsi="Times New Roman" w:cs="Times New Roman"/>
          <w:lang w:val="en-GB"/>
        </w:rPr>
        <w:footnoteRef/>
      </w:r>
      <w:r w:rsidRPr="00CB29A8">
        <w:rPr>
          <w:rFonts w:ascii="Times New Roman" w:hAnsi="Times New Roman" w:cs="Times New Roman"/>
        </w:rPr>
        <w:t xml:space="preserve">See M. Starita, ‘L’interpretazione dei trattati che determinano frontiere’, 98 </w:t>
      </w:r>
      <w:r w:rsidRPr="00CB29A8">
        <w:rPr>
          <w:rFonts w:ascii="Times New Roman" w:hAnsi="Times New Roman" w:cs="Times New Roman"/>
          <w:i/>
        </w:rPr>
        <w:t>RDI</w:t>
      </w:r>
      <w:r w:rsidRPr="00CB29A8">
        <w:rPr>
          <w:rFonts w:ascii="Times New Roman" w:hAnsi="Times New Roman" w:cs="Times New Roman"/>
        </w:rPr>
        <w:t xml:space="preserve"> (2015) 337. </w:t>
      </w:r>
    </w:p>
  </w:footnote>
  <w:footnote w:id="93">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The </w:t>
      </w:r>
      <w:r w:rsidRPr="00CB29A8">
        <w:rPr>
          <w:rFonts w:ascii="Times New Roman" w:hAnsi="Times New Roman" w:cs="Times New Roman"/>
          <w:i/>
          <w:lang w:val="en-US"/>
        </w:rPr>
        <w:t>Mavi Marmara</w:t>
      </w:r>
      <w:r w:rsidRPr="00CB29A8">
        <w:rPr>
          <w:rFonts w:ascii="Times New Roman" w:hAnsi="Times New Roman" w:cs="Times New Roman"/>
          <w:lang w:val="en-US"/>
        </w:rPr>
        <w:t xml:space="preserve"> affaire is the only episode mentioned in the recent academic literature regarding Article 12(2)(a). See W.A. Schabas and G. Pecorella, </w:t>
      </w:r>
      <w:r>
        <w:rPr>
          <w:rFonts w:ascii="Times New Roman" w:hAnsi="Times New Roman" w:cs="Times New Roman"/>
          <w:lang w:val="en-US"/>
        </w:rPr>
        <w:t>‘</w:t>
      </w:r>
      <w:r w:rsidRPr="00CB29A8">
        <w:rPr>
          <w:rFonts w:ascii="Times New Roman" w:hAnsi="Times New Roman" w:cs="Times New Roman"/>
          <w:lang w:val="en-US"/>
        </w:rPr>
        <w:t>Artic</w:t>
      </w:r>
      <w:r>
        <w:rPr>
          <w:rFonts w:ascii="Times New Roman" w:hAnsi="Times New Roman" w:cs="Times New Roman"/>
          <w:lang w:val="en-US"/>
        </w:rPr>
        <w:t>l</w:t>
      </w:r>
      <w:r w:rsidRPr="00CB29A8">
        <w:rPr>
          <w:rFonts w:ascii="Times New Roman" w:hAnsi="Times New Roman" w:cs="Times New Roman"/>
          <w:lang w:val="en-US"/>
        </w:rPr>
        <w:t>e 12 – Preconditions to the Exercise of Jurisdiction</w:t>
      </w:r>
      <w:r>
        <w:rPr>
          <w:rFonts w:ascii="Times New Roman" w:hAnsi="Times New Roman" w:cs="Times New Roman"/>
          <w:lang w:val="en-US"/>
        </w:rPr>
        <w:t>’</w:t>
      </w:r>
      <w:r w:rsidRPr="00CB29A8">
        <w:rPr>
          <w:rFonts w:ascii="Times New Roman" w:hAnsi="Times New Roman" w:cs="Times New Roman"/>
          <w:lang w:val="en-US"/>
        </w:rPr>
        <w:t xml:space="preserve">, in </w:t>
      </w:r>
      <w:r w:rsidRPr="00CB29A8">
        <w:rPr>
          <w:rFonts w:ascii="Times New Roman" w:hAnsi="Times New Roman" w:cs="Times New Roman"/>
          <w:lang w:val="en-GB"/>
        </w:rPr>
        <w:t xml:space="preserve">Triffterer and Ambos (eds), </w:t>
      </w:r>
      <w:r w:rsidRPr="00CB29A8">
        <w:rPr>
          <w:rFonts w:ascii="Times New Roman" w:hAnsi="Times New Roman" w:cs="Times New Roman"/>
          <w:i/>
          <w:lang w:val="en-GB"/>
        </w:rPr>
        <w:t>Commentary on the Rome Statute</w:t>
      </w:r>
      <w:r w:rsidRPr="00CB29A8">
        <w:rPr>
          <w:rFonts w:ascii="Times New Roman" w:hAnsi="Times New Roman" w:cs="Times New Roman"/>
          <w:lang w:val="en-GB"/>
        </w:rPr>
        <w:t xml:space="preserve">, </w:t>
      </w:r>
      <w:r w:rsidRPr="008D4C0A">
        <w:rPr>
          <w:rFonts w:ascii="Times New Roman" w:hAnsi="Times New Roman" w:cs="Times New Roman"/>
          <w:i/>
          <w:lang w:val="en-GB"/>
        </w:rPr>
        <w:t>supra</w:t>
      </w:r>
      <w:r w:rsidRPr="00CB29A8">
        <w:rPr>
          <w:rFonts w:ascii="Times New Roman" w:hAnsi="Times New Roman" w:cs="Times New Roman"/>
          <w:lang w:val="en-GB"/>
        </w:rPr>
        <w:t xml:space="preserve"> note 42, 672, at 683. </w:t>
      </w:r>
    </w:p>
  </w:footnote>
  <w:footnote w:id="94">
    <w:p w:rsidR="00C81D41" w:rsidRPr="00E666E1" w:rsidRDefault="00C81D41" w:rsidP="00CB29A8">
      <w:pPr>
        <w:autoSpaceDE w:val="0"/>
        <w:autoSpaceDN w:val="0"/>
        <w:adjustRightInd w:val="0"/>
        <w:spacing w:after="0" w:line="240" w:lineRule="auto"/>
        <w:jc w:val="both"/>
        <w:rPr>
          <w:rFonts w:ascii="Times New Roman" w:hAnsi="Times New Roman" w:cs="Times New Roman"/>
          <w:sz w:val="20"/>
          <w:szCs w:val="20"/>
          <w:lang w:val="en-US"/>
        </w:rPr>
      </w:pPr>
      <w:r w:rsidRPr="00CB29A8">
        <w:rPr>
          <w:rStyle w:val="Rimandonotaapidipagina"/>
          <w:rFonts w:ascii="Times New Roman" w:hAnsi="Times New Roman" w:cs="Times New Roman"/>
          <w:sz w:val="20"/>
          <w:szCs w:val="20"/>
        </w:rPr>
        <w:footnoteRef/>
      </w:r>
      <w:r w:rsidRPr="00CB29A8">
        <w:rPr>
          <w:rFonts w:ascii="Times New Roman" w:hAnsi="Times New Roman" w:cs="Times New Roman"/>
          <w:sz w:val="20"/>
          <w:szCs w:val="20"/>
          <w:lang w:val="en-US"/>
        </w:rPr>
        <w:t xml:space="preserve"> See e.g. the excellent study by </w:t>
      </w:r>
      <w:r w:rsidRPr="00CB29A8">
        <w:rPr>
          <w:rStyle w:val="addmd"/>
          <w:rFonts w:ascii="Times New Roman" w:hAnsi="Times New Roman" w:cs="Times New Roman"/>
          <w:sz w:val="20"/>
          <w:szCs w:val="20"/>
          <w:lang w:val="en-US"/>
        </w:rPr>
        <w:t xml:space="preserve">M. Vagias, </w:t>
      </w:r>
      <w:r w:rsidRPr="00CB29A8">
        <w:rPr>
          <w:rFonts w:ascii="Times New Roman" w:hAnsi="Times New Roman" w:cs="Times New Roman"/>
          <w:bCs/>
          <w:i/>
          <w:sz w:val="20"/>
          <w:szCs w:val="20"/>
          <w:lang w:val="en-US"/>
        </w:rPr>
        <w:t>The Territorial Jurisdiction of the International Criminal Court</w:t>
      </w:r>
      <w:r w:rsidRPr="00CB29A8">
        <w:rPr>
          <w:rFonts w:ascii="Times New Roman" w:hAnsi="Times New Roman" w:cs="Times New Roman"/>
          <w:bCs/>
          <w:sz w:val="20"/>
          <w:szCs w:val="20"/>
          <w:lang w:val="en-US"/>
        </w:rPr>
        <w:t xml:space="preserve"> </w:t>
      </w:r>
      <w:r w:rsidRPr="00CB29A8">
        <w:rPr>
          <w:rFonts w:ascii="Times New Roman" w:hAnsi="Times New Roman" w:cs="Times New Roman"/>
          <w:bCs/>
          <w:sz w:val="20"/>
          <w:szCs w:val="20"/>
          <w:lang w:val="en-GB"/>
        </w:rPr>
        <w:t>(Cambridge University Press, 2014)</w:t>
      </w:r>
      <w:r>
        <w:rPr>
          <w:rFonts w:ascii="Times New Roman" w:hAnsi="Times New Roman" w:cs="Times New Roman"/>
          <w:bCs/>
          <w:sz w:val="20"/>
          <w:szCs w:val="20"/>
          <w:lang w:val="en-GB"/>
        </w:rPr>
        <w:t>, at</w:t>
      </w:r>
      <w:r w:rsidRPr="00CB29A8">
        <w:rPr>
          <w:rFonts w:ascii="Times New Roman" w:hAnsi="Times New Roman" w:cs="Times New Roman"/>
          <w:bCs/>
          <w:sz w:val="20"/>
          <w:szCs w:val="20"/>
          <w:lang w:val="en-GB"/>
        </w:rPr>
        <w:t xml:space="preserve"> 8: ‘T</w:t>
      </w:r>
      <w:r w:rsidRPr="00CB29A8">
        <w:rPr>
          <w:rFonts w:ascii="Times New Roman" w:hAnsi="Times New Roman" w:cs="Times New Roman"/>
          <w:sz w:val="20"/>
          <w:szCs w:val="20"/>
          <w:lang w:val="en-US"/>
        </w:rPr>
        <w:t xml:space="preserve">he issues of crimes occurring on board vessels or aircrafts and the </w:t>
      </w:r>
      <w:r w:rsidRPr="00E666E1">
        <w:rPr>
          <w:rFonts w:ascii="Times New Roman" w:hAnsi="Times New Roman" w:cs="Times New Roman"/>
          <w:sz w:val="20"/>
          <w:szCs w:val="20"/>
          <w:lang w:val="en-US"/>
        </w:rPr>
        <w:t>topic of vessel registration and flag state jurisdiction are excluded.’</w:t>
      </w:r>
      <w:r w:rsidRPr="00E666E1">
        <w:rPr>
          <w:rStyle w:val="addmd"/>
          <w:rFonts w:ascii="Times New Roman" w:hAnsi="Times New Roman" w:cs="Times New Roman"/>
          <w:sz w:val="20"/>
          <w:szCs w:val="20"/>
          <w:lang w:val="en-US"/>
        </w:rPr>
        <w:t xml:space="preserve"> </w:t>
      </w:r>
    </w:p>
  </w:footnote>
  <w:footnote w:id="95">
    <w:p w:rsidR="00C81D41" w:rsidRPr="00CB29A8" w:rsidRDefault="00C81D41" w:rsidP="00BB1F23">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For this reason, the criminal responsibility of the perpetrators </w:t>
      </w:r>
      <w:r>
        <w:rPr>
          <w:rFonts w:ascii="Times New Roman" w:hAnsi="Times New Roman" w:cs="Times New Roman"/>
          <w:lang w:val="en-US"/>
        </w:rPr>
        <w:t xml:space="preserve">of the sinking </w:t>
      </w:r>
      <w:r w:rsidRPr="00CB29A8">
        <w:rPr>
          <w:rFonts w:ascii="Times New Roman" w:hAnsi="Times New Roman" w:cs="Times New Roman"/>
          <w:lang w:val="en-US"/>
        </w:rPr>
        <w:t xml:space="preserve">has been analysed in light of the crime of aggression, rather than under war crimes allegations. See N.R. Jung, </w:t>
      </w:r>
      <w:r>
        <w:rPr>
          <w:rFonts w:ascii="Times New Roman" w:hAnsi="Times New Roman" w:cs="Times New Roman"/>
          <w:lang w:val="en-US"/>
        </w:rPr>
        <w:t>‘</w:t>
      </w:r>
      <w:r w:rsidRPr="00CB29A8">
        <w:rPr>
          <w:rFonts w:ascii="Times New Roman" w:hAnsi="Times New Roman" w:cs="Times New Roman"/>
          <w:lang w:val="en-US"/>
        </w:rPr>
        <w:t>Study on the Efficacy of the Kampala Amendments for Suppression of Aggression: Examined by the Case of Armed Conflicts in the Korean Peninsula</w:t>
      </w:r>
      <w:r>
        <w:rPr>
          <w:rFonts w:ascii="Times New Roman" w:hAnsi="Times New Roman" w:cs="Times New Roman"/>
          <w:lang w:val="en-US"/>
        </w:rPr>
        <w:t>’</w:t>
      </w:r>
      <w:r w:rsidRPr="00CB29A8">
        <w:rPr>
          <w:rFonts w:ascii="Times New Roman" w:hAnsi="Times New Roman" w:cs="Times New Roman"/>
          <w:lang w:val="en-US"/>
        </w:rPr>
        <w:t xml:space="preserve">, 10 </w:t>
      </w:r>
      <w:r w:rsidRPr="00E666E1">
        <w:rPr>
          <w:rFonts w:ascii="Times New Roman" w:hAnsi="Times New Roman" w:cs="Times New Roman"/>
          <w:i/>
          <w:lang w:val="en-US"/>
        </w:rPr>
        <w:t>Loyola University Chicago International Law Review</w:t>
      </w:r>
      <w:r w:rsidRPr="00CB29A8">
        <w:rPr>
          <w:rFonts w:ascii="Times New Roman" w:hAnsi="Times New Roman" w:cs="Times New Roman"/>
          <w:lang w:val="en-US"/>
        </w:rPr>
        <w:t xml:space="preserve"> (2012-213) 157.</w:t>
      </w:r>
    </w:p>
  </w:footnote>
  <w:footnote w:id="96">
    <w:p w:rsidR="00C81D41" w:rsidRPr="00997F6C" w:rsidRDefault="00C81D41" w:rsidP="00997F6C">
      <w:pPr>
        <w:pStyle w:val="Testonotaapidipagina"/>
        <w:rPr>
          <w:rFonts w:ascii="Times New Roman" w:hAnsi="Times New Roman" w:cs="Times New Roman"/>
          <w:lang w:val="en-US"/>
        </w:rPr>
      </w:pPr>
      <w:r w:rsidRPr="00997F6C">
        <w:rPr>
          <w:rStyle w:val="Rimandonotaapidipagina"/>
          <w:rFonts w:ascii="Times New Roman" w:hAnsi="Times New Roman" w:cs="Times New Roman"/>
        </w:rPr>
        <w:footnoteRef/>
      </w:r>
      <w:r w:rsidRPr="00997F6C">
        <w:rPr>
          <w:rFonts w:ascii="Times New Roman" w:hAnsi="Times New Roman" w:cs="Times New Roman"/>
          <w:lang w:val="en-US"/>
        </w:rPr>
        <w:t xml:space="preserve"> See OTP, Situation in the Republic of Korea, Article 5 Report, June 2014, </w:t>
      </w:r>
      <w:r w:rsidRPr="00997F6C">
        <w:rPr>
          <w:rFonts w:ascii="Times New Roman" w:hAnsi="Times New Roman" w:cs="Times New Roman"/>
          <w:lang w:val="en-GB"/>
        </w:rPr>
        <w:t xml:space="preserve">§§ </w:t>
      </w:r>
      <w:r w:rsidRPr="00997F6C">
        <w:rPr>
          <w:rFonts w:ascii="Times New Roman" w:hAnsi="Times New Roman" w:cs="Times New Roman"/>
          <w:lang w:val="en-US"/>
        </w:rPr>
        <w:t>47-57</w:t>
      </w:r>
      <w:r w:rsidRPr="00997F6C">
        <w:rPr>
          <w:rFonts w:ascii="Times New Roman" w:hAnsi="Times New Roman" w:cs="Times New Roman"/>
          <w:lang w:val="en-GB"/>
        </w:rPr>
        <w:t>.</w:t>
      </w:r>
    </w:p>
  </w:footnote>
  <w:footnote w:id="97">
    <w:p w:rsidR="00C81D41" w:rsidRPr="00E666E1" w:rsidRDefault="00C81D41" w:rsidP="008D4C0A">
      <w:pPr>
        <w:pStyle w:val="Testonotaapidipagina"/>
        <w:jc w:val="both"/>
        <w:rPr>
          <w:rFonts w:ascii="Times New Roman" w:hAnsi="Times New Roman" w:cs="Times New Roman"/>
          <w:lang w:val="en-US"/>
        </w:rPr>
      </w:pPr>
      <w:r w:rsidRPr="00E666E1">
        <w:rPr>
          <w:rStyle w:val="Rimandonotaapidipagina"/>
          <w:rFonts w:ascii="Times New Roman" w:hAnsi="Times New Roman" w:cs="Times New Roman"/>
        </w:rPr>
        <w:footnoteRef/>
      </w:r>
      <w:r w:rsidRPr="00E666E1">
        <w:rPr>
          <w:rFonts w:ascii="Times New Roman" w:hAnsi="Times New Roman" w:cs="Times New Roman"/>
          <w:lang w:val="en-US"/>
        </w:rPr>
        <w:t xml:space="preserve"> </w:t>
      </w:r>
      <w:r w:rsidRPr="00E666E1">
        <w:rPr>
          <w:rFonts w:ascii="Times New Roman" w:hAnsi="Times New Roman" w:cs="Times New Roman"/>
          <w:i/>
          <w:lang w:val="en-US"/>
        </w:rPr>
        <w:t>Trial of the Major War Criminals before the International Military Tribunal, Nuremberg, 14 November 1945 – 1 October 1946</w:t>
      </w:r>
      <w:r w:rsidRPr="00E666E1">
        <w:rPr>
          <w:rFonts w:ascii="Times New Roman" w:hAnsi="Times New Roman" w:cs="Times New Roman"/>
          <w:lang w:val="en-US"/>
        </w:rPr>
        <w:t xml:space="preserve">, at 313–317. </w:t>
      </w:r>
    </w:p>
  </w:footnote>
  <w:footnote w:id="98">
    <w:p w:rsidR="00C81D41" w:rsidRPr="00E666E1" w:rsidRDefault="00C81D41" w:rsidP="00E666E1">
      <w:pPr>
        <w:pStyle w:val="Testonotaapidipagina"/>
        <w:jc w:val="both"/>
        <w:rPr>
          <w:rFonts w:ascii="Times New Roman" w:hAnsi="Times New Roman" w:cs="Times New Roman"/>
          <w:lang w:val="en-US"/>
        </w:rPr>
      </w:pPr>
      <w:r w:rsidRPr="00E666E1">
        <w:rPr>
          <w:rStyle w:val="Rimandonotaapidipagina"/>
          <w:rFonts w:ascii="Times New Roman" w:hAnsi="Times New Roman" w:cs="Times New Roman"/>
        </w:rPr>
        <w:footnoteRef/>
      </w:r>
      <w:r w:rsidRPr="00E666E1">
        <w:rPr>
          <w:rFonts w:ascii="Times New Roman" w:hAnsi="Times New Roman" w:cs="Times New Roman"/>
          <w:lang w:val="en-US"/>
        </w:rPr>
        <w:t xml:space="preserve"> See N. Boilster and R. Cryer</w:t>
      </w:r>
      <w:r>
        <w:rPr>
          <w:rFonts w:ascii="Times New Roman" w:hAnsi="Times New Roman" w:cs="Times New Roman"/>
          <w:lang w:val="en-US"/>
        </w:rPr>
        <w:t xml:space="preserve"> (eds)</w:t>
      </w:r>
      <w:r w:rsidRPr="00E666E1">
        <w:rPr>
          <w:rFonts w:ascii="Times New Roman" w:hAnsi="Times New Roman" w:cs="Times New Roman"/>
          <w:lang w:val="en-US"/>
        </w:rPr>
        <w:t xml:space="preserve">, </w:t>
      </w:r>
      <w:r w:rsidRPr="00E666E1">
        <w:rPr>
          <w:rFonts w:ascii="Times New Roman" w:hAnsi="Times New Roman" w:cs="Times New Roman"/>
          <w:i/>
          <w:lang w:val="en-US"/>
        </w:rPr>
        <w:t>Documents on the Tokyo International Military Tribunal: Charter, Indictment and Judgments</w:t>
      </w:r>
      <w:r w:rsidRPr="00E666E1">
        <w:rPr>
          <w:rFonts w:ascii="Times New Roman" w:hAnsi="Times New Roman" w:cs="Times New Roman"/>
          <w:lang w:val="en-US"/>
        </w:rPr>
        <w:t xml:space="preserve"> (Oxford University Press, 2008), at 561-565. </w:t>
      </w:r>
    </w:p>
  </w:footnote>
  <w:footnote w:id="99">
    <w:p w:rsidR="00C81D41" w:rsidRPr="00E666E1" w:rsidRDefault="00C81D41" w:rsidP="00CB29A8">
      <w:pPr>
        <w:pStyle w:val="Testonotaapidipagina"/>
        <w:jc w:val="both"/>
        <w:rPr>
          <w:rFonts w:ascii="Times New Roman" w:hAnsi="Times New Roman" w:cs="Times New Roman"/>
          <w:lang w:val="en-US"/>
        </w:rPr>
      </w:pPr>
      <w:r w:rsidRPr="00E666E1">
        <w:rPr>
          <w:rStyle w:val="Rimandonotaapidipagina"/>
          <w:rFonts w:ascii="Times New Roman" w:hAnsi="Times New Roman" w:cs="Times New Roman"/>
        </w:rPr>
        <w:footnoteRef/>
      </w:r>
      <w:r w:rsidRPr="00E666E1">
        <w:rPr>
          <w:rFonts w:ascii="Times New Roman" w:hAnsi="Times New Roman" w:cs="Times New Roman"/>
          <w:lang w:val="en-US"/>
        </w:rPr>
        <w:t xml:space="preserve"> ICTY Statute, Article 8; ICTR Statute, Article 7. See W.A. Schabas, </w:t>
      </w:r>
      <w:r w:rsidRPr="00E666E1">
        <w:rPr>
          <w:rFonts w:ascii="Times New Roman" w:hAnsi="Times New Roman" w:cs="Times New Roman"/>
          <w:i/>
          <w:lang w:val="en-US"/>
        </w:rPr>
        <w:t>The UN International Criminal Tribunals, The Former Yugoslavia, Rwanda and Sierra Leone</w:t>
      </w:r>
      <w:r w:rsidRPr="00E666E1">
        <w:rPr>
          <w:rFonts w:ascii="Times New Roman" w:hAnsi="Times New Roman" w:cs="Times New Roman"/>
          <w:lang w:val="en-US"/>
        </w:rPr>
        <w:t xml:space="preserve"> (Cambridge University Press, 2006) 131. </w:t>
      </w:r>
    </w:p>
  </w:footnote>
  <w:footnote w:id="100">
    <w:p w:rsidR="00C81D41" w:rsidRPr="00CB29A8" w:rsidRDefault="00C81D41" w:rsidP="00CB29A8">
      <w:pPr>
        <w:pStyle w:val="Testonotaapidipagina"/>
        <w:jc w:val="both"/>
        <w:rPr>
          <w:rFonts w:ascii="Times New Roman" w:hAnsi="Times New Roman" w:cs="Times New Roman"/>
          <w:lang w:val="en-US"/>
        </w:rPr>
      </w:pPr>
      <w:r w:rsidRPr="00E666E1">
        <w:rPr>
          <w:rStyle w:val="Rimandonotaapidipagina"/>
          <w:rFonts w:ascii="Times New Roman" w:hAnsi="Times New Roman" w:cs="Times New Roman"/>
        </w:rPr>
        <w:footnoteRef/>
      </w:r>
      <w:r w:rsidRPr="00E666E1">
        <w:rPr>
          <w:rFonts w:ascii="Times New Roman" w:hAnsi="Times New Roman" w:cs="Times New Roman"/>
          <w:lang w:val="en-US"/>
        </w:rPr>
        <w:t xml:space="preserve"> On this issue, no state practice has been collected into the most authoritative non-binding codification regarding naval warfare</w:t>
      </w:r>
      <w:r w:rsidRPr="00CB29A8">
        <w:rPr>
          <w:rFonts w:ascii="Times New Roman" w:hAnsi="Times New Roman" w:cs="Times New Roman"/>
          <w:lang w:val="en-US"/>
        </w:rPr>
        <w:t xml:space="preserve">, L. Doswald-Beck (ed.), </w:t>
      </w:r>
      <w:r w:rsidRPr="00E666E1">
        <w:rPr>
          <w:rFonts w:ascii="Times New Roman" w:hAnsi="Times New Roman" w:cs="Times New Roman"/>
          <w:i/>
          <w:lang w:val="en-US"/>
        </w:rPr>
        <w:t>San Remo Manual on International Law Applicable to Armed Conflicts at Sea</w:t>
      </w:r>
      <w:r w:rsidRPr="00CB29A8">
        <w:rPr>
          <w:rFonts w:ascii="Times New Roman" w:hAnsi="Times New Roman" w:cs="Times New Roman"/>
          <w:lang w:val="en-US"/>
        </w:rPr>
        <w:t xml:space="preserve"> (Cambridge University Press), </w:t>
      </w:r>
      <w:r>
        <w:rPr>
          <w:rFonts w:ascii="Times New Roman" w:hAnsi="Times New Roman" w:cs="Times New Roman"/>
          <w:lang w:val="en-US"/>
        </w:rPr>
        <w:t xml:space="preserve">at </w:t>
      </w:r>
      <w:r w:rsidRPr="00CB29A8">
        <w:rPr>
          <w:rFonts w:ascii="Times New Roman" w:hAnsi="Times New Roman" w:cs="Times New Roman"/>
          <w:lang w:val="en-US"/>
        </w:rPr>
        <w:t>176</w:t>
      </w:r>
      <w:r>
        <w:rPr>
          <w:rFonts w:ascii="Times New Roman" w:hAnsi="Times New Roman" w:cs="Times New Roman"/>
          <w:lang w:val="en-US"/>
        </w:rPr>
        <w:t>-</w:t>
      </w:r>
      <w:r w:rsidRPr="00CB29A8">
        <w:rPr>
          <w:rFonts w:ascii="Times New Roman" w:hAnsi="Times New Roman" w:cs="Times New Roman"/>
          <w:lang w:val="en-US"/>
        </w:rPr>
        <w:t>183.</w:t>
      </w:r>
      <w:r>
        <w:rPr>
          <w:rFonts w:ascii="Times New Roman" w:hAnsi="Times New Roman" w:cs="Times New Roman"/>
          <w:lang w:val="en-US"/>
        </w:rPr>
        <w:t xml:space="preserve"> Some practice exists with regard to the enforcement of the Gaza blockade prior to the </w:t>
      </w:r>
      <w:r w:rsidRPr="00C81D41">
        <w:rPr>
          <w:rFonts w:ascii="Times New Roman" w:hAnsi="Times New Roman" w:cs="Times New Roman"/>
          <w:i/>
          <w:lang w:val="en-US"/>
        </w:rPr>
        <w:t>Mavi Marmara</w:t>
      </w:r>
      <w:r w:rsidR="00A629E3">
        <w:rPr>
          <w:rFonts w:ascii="Times New Roman" w:hAnsi="Times New Roman" w:cs="Times New Roman"/>
          <w:lang w:val="en-US"/>
        </w:rPr>
        <w:t xml:space="preserve"> incident; s</w:t>
      </w:r>
      <w:r>
        <w:rPr>
          <w:rFonts w:ascii="Times New Roman" w:hAnsi="Times New Roman" w:cs="Times New Roman"/>
          <w:lang w:val="en-US"/>
        </w:rPr>
        <w:t xml:space="preserve">ee e.g. </w:t>
      </w:r>
      <w:r w:rsidRPr="00406BA0">
        <w:rPr>
          <w:rFonts w:ascii="Times New Roman" w:hAnsi="Times New Roman" w:cs="Times New Roman"/>
          <w:lang w:val="en-US"/>
        </w:rPr>
        <w:t xml:space="preserve">the </w:t>
      </w:r>
      <w:r w:rsidRPr="00406BA0">
        <w:rPr>
          <w:rFonts w:ascii="Times New Roman" w:hAnsi="Times New Roman" w:cs="Times New Roman"/>
          <w:i/>
          <w:lang w:val="en-US"/>
        </w:rPr>
        <w:t>Dignity</w:t>
      </w:r>
      <w:r w:rsidRPr="00406BA0">
        <w:rPr>
          <w:rFonts w:ascii="Times New Roman" w:hAnsi="Times New Roman" w:cs="Times New Roman"/>
          <w:lang w:val="en-US"/>
        </w:rPr>
        <w:t xml:space="preserve"> incident of 30 December 2008 (E. Papastavridis, </w:t>
      </w:r>
      <w:r w:rsidRPr="00406BA0">
        <w:rPr>
          <w:rFonts w:ascii="Times New Roman" w:hAnsi="Times New Roman" w:cs="Times New Roman"/>
          <w:i/>
          <w:lang w:val="en-US"/>
        </w:rPr>
        <w:t>The Interception of Vessels on the High Seas: Contemporary Challenges to the Legal Order of the Oceans</w:t>
      </w:r>
      <w:r w:rsidRPr="00406BA0">
        <w:rPr>
          <w:rFonts w:ascii="Times New Roman" w:hAnsi="Times New Roman" w:cs="Times New Roman"/>
          <w:lang w:val="en-US"/>
        </w:rPr>
        <w:t xml:space="preserve"> (Hart 2013) 94</w:t>
      </w:r>
      <w:r w:rsidR="00764FF8" w:rsidRPr="00406BA0">
        <w:rPr>
          <w:rFonts w:ascii="Times New Roman" w:hAnsi="Times New Roman" w:cs="Times New Roman"/>
          <w:lang w:val="en-US"/>
        </w:rPr>
        <w:t xml:space="preserve">), and the </w:t>
      </w:r>
      <w:r w:rsidR="00764FF8" w:rsidRPr="00406BA0">
        <w:rPr>
          <w:rFonts w:ascii="Times New Roman" w:hAnsi="Times New Roman" w:cs="Times New Roman"/>
          <w:i/>
          <w:lang w:val="en-US"/>
        </w:rPr>
        <w:t>Spirit of Humanity</w:t>
      </w:r>
      <w:r w:rsidR="00764FF8" w:rsidRPr="00406BA0">
        <w:rPr>
          <w:rFonts w:ascii="Times New Roman" w:hAnsi="Times New Roman" w:cs="Times New Roman"/>
          <w:lang w:val="en-US"/>
        </w:rPr>
        <w:t xml:space="preserve"> incident of 29 June 2009 (</w:t>
      </w:r>
      <w:r w:rsidR="00764FF8" w:rsidRPr="00CB29A8">
        <w:rPr>
          <w:rFonts w:ascii="Times New Roman" w:hAnsi="Times New Roman" w:cs="Times New Roman"/>
          <w:lang w:val="en-GB"/>
        </w:rPr>
        <w:t xml:space="preserve">UNHRC, Report of the International Fact-Finding Mission to Investigate Violations of International Law, </w:t>
      </w:r>
      <w:r w:rsidR="00764FF8" w:rsidRPr="00CB29A8">
        <w:rPr>
          <w:rFonts w:ascii="Times New Roman" w:hAnsi="Times New Roman" w:cs="Times New Roman"/>
          <w:i/>
          <w:lang w:val="en-GB"/>
        </w:rPr>
        <w:t>supra</w:t>
      </w:r>
      <w:r w:rsidR="00764FF8" w:rsidRPr="00CB29A8">
        <w:rPr>
          <w:rFonts w:ascii="Times New Roman" w:hAnsi="Times New Roman" w:cs="Times New Roman"/>
          <w:lang w:val="en-GB"/>
        </w:rPr>
        <w:t xml:space="preserve"> note </w:t>
      </w:r>
      <w:r w:rsidR="00764FF8">
        <w:rPr>
          <w:rFonts w:ascii="Times New Roman" w:hAnsi="Times New Roman" w:cs="Times New Roman"/>
          <w:lang w:val="en-GB"/>
        </w:rPr>
        <w:t>5</w:t>
      </w:r>
      <w:r w:rsidR="00764FF8" w:rsidRPr="00CB29A8">
        <w:rPr>
          <w:rFonts w:ascii="Times New Roman" w:hAnsi="Times New Roman" w:cs="Times New Roman"/>
          <w:lang w:val="en-GB"/>
        </w:rPr>
        <w:t>, §</w:t>
      </w:r>
      <w:r w:rsidR="00764FF8">
        <w:rPr>
          <w:rFonts w:ascii="Times New Roman" w:hAnsi="Times New Roman" w:cs="Times New Roman"/>
          <w:lang w:val="en-GB"/>
        </w:rPr>
        <w:t xml:space="preserve"> 77).</w:t>
      </w:r>
    </w:p>
  </w:footnote>
  <w:footnote w:id="101">
    <w:p w:rsidR="00C81D41" w:rsidRPr="00046CA9"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sidRPr="00046CA9">
        <w:rPr>
          <w:rFonts w:ascii="Times New Roman" w:hAnsi="Times New Roman" w:cs="Times New Roman"/>
          <w:i/>
          <w:lang w:val="en-US"/>
        </w:rPr>
        <w:t>Medvedyev and Others v. France</w:t>
      </w:r>
      <w:r>
        <w:rPr>
          <w:rFonts w:ascii="Times New Roman" w:hAnsi="Times New Roman" w:cs="Times New Roman"/>
          <w:lang w:val="en-US"/>
        </w:rPr>
        <w:t xml:space="preserve">, </w:t>
      </w:r>
      <w:r w:rsidRPr="00046CA9">
        <w:rPr>
          <w:rFonts w:ascii="Times New Roman" w:hAnsi="Times New Roman" w:cs="Times New Roman"/>
          <w:lang w:val="en-US"/>
        </w:rPr>
        <w:t>App. No. 3394/03 [GC], ECHR 2010</w:t>
      </w:r>
      <w:r>
        <w:rPr>
          <w:rFonts w:ascii="Times New Roman" w:hAnsi="Times New Roman" w:cs="Times New Roman"/>
          <w:lang w:val="en-US"/>
        </w:rPr>
        <w:t>.</w:t>
      </w:r>
    </w:p>
  </w:footnote>
  <w:footnote w:id="102">
    <w:p w:rsidR="00C81D41" w:rsidRPr="00CB29A8" w:rsidRDefault="00C81D41" w:rsidP="00CB29A8">
      <w:pPr>
        <w:pStyle w:val="Testonotaapidipagina"/>
        <w:jc w:val="both"/>
        <w:rPr>
          <w:rFonts w:ascii="Times New Roman" w:hAnsi="Times New Roman" w:cs="Times New Roman"/>
          <w:lang w:val="en-US"/>
        </w:rPr>
      </w:pPr>
      <w:r w:rsidRPr="00CB29A8">
        <w:rPr>
          <w:rStyle w:val="Rimandonotaapidipagina"/>
          <w:rFonts w:ascii="Times New Roman" w:hAnsi="Times New Roman" w:cs="Times New Roman"/>
        </w:rPr>
        <w:footnoteRef/>
      </w:r>
      <w:r w:rsidRPr="00CB29A8">
        <w:rPr>
          <w:rFonts w:ascii="Times New Roman" w:hAnsi="Times New Roman" w:cs="Times New Roman"/>
          <w:lang w:val="en-US"/>
        </w:rPr>
        <w:t xml:space="preserve"> </w:t>
      </w:r>
      <w:r>
        <w:rPr>
          <w:rFonts w:ascii="Times New Roman" w:hAnsi="Times New Roman" w:cs="Times New Roman"/>
          <w:lang w:val="en-US"/>
        </w:rPr>
        <w:t xml:space="preserve">Accordingly, one should consider not relevant those decisions of the International Tribunal for the Law of the Sea regarding interception and boarding of vessels – such as </w:t>
      </w:r>
      <w:r w:rsidRPr="00046CA9">
        <w:rPr>
          <w:rFonts w:ascii="Times New Roman" w:hAnsi="Times New Roman" w:cs="Times New Roman"/>
          <w:lang w:val="en-US"/>
        </w:rPr>
        <w:t xml:space="preserve">The </w:t>
      </w:r>
      <w:r w:rsidRPr="008D4C0A">
        <w:rPr>
          <w:rFonts w:ascii="Times New Roman" w:hAnsi="Times New Roman" w:cs="Times New Roman"/>
          <w:i/>
          <w:lang w:val="en-US"/>
        </w:rPr>
        <w:t xml:space="preserve">M/V </w:t>
      </w:r>
      <w:r w:rsidR="00A629E3">
        <w:rPr>
          <w:rFonts w:ascii="Times New Roman" w:hAnsi="Times New Roman" w:cs="Times New Roman"/>
          <w:i/>
          <w:lang w:val="en-US"/>
        </w:rPr>
        <w:t>‘</w:t>
      </w:r>
      <w:r w:rsidRPr="008D4C0A">
        <w:rPr>
          <w:rFonts w:ascii="Times New Roman" w:hAnsi="Times New Roman" w:cs="Times New Roman"/>
          <w:i/>
          <w:lang w:val="en-US"/>
        </w:rPr>
        <w:t>Saiga</w:t>
      </w:r>
      <w:r w:rsidR="00A629E3">
        <w:rPr>
          <w:rFonts w:ascii="Times New Roman" w:hAnsi="Times New Roman" w:cs="Times New Roman"/>
          <w:i/>
          <w:lang w:val="en-US"/>
        </w:rPr>
        <w:t>’</w:t>
      </w:r>
      <w:r w:rsidRPr="008D4C0A">
        <w:rPr>
          <w:rFonts w:ascii="Times New Roman" w:hAnsi="Times New Roman" w:cs="Times New Roman"/>
          <w:i/>
          <w:lang w:val="en-US"/>
        </w:rPr>
        <w:t xml:space="preserve"> Case (Saint Vincent and the Grenadines v. Guinea)</w:t>
      </w:r>
      <w:r>
        <w:rPr>
          <w:rFonts w:ascii="Times New Roman" w:hAnsi="Times New Roman" w:cs="Times New Roman"/>
          <w:lang w:val="en-US"/>
        </w:rPr>
        <w:t xml:space="preserve">, Judgment of 4 December 1997, ITLOS Reports (1997), 1; </w:t>
      </w:r>
      <w:r w:rsidR="00A629E3">
        <w:rPr>
          <w:rFonts w:ascii="Times New Roman" w:hAnsi="Times New Roman" w:cs="Times New Roman"/>
          <w:i/>
          <w:lang w:val="en-US"/>
        </w:rPr>
        <w:t>The ‘</w:t>
      </w:r>
      <w:r w:rsidRPr="008D4C0A">
        <w:rPr>
          <w:rFonts w:ascii="Times New Roman" w:hAnsi="Times New Roman" w:cs="Times New Roman"/>
          <w:i/>
          <w:lang w:val="en-US"/>
        </w:rPr>
        <w:t>Arctic Sunrise</w:t>
      </w:r>
      <w:r w:rsidR="00A629E3">
        <w:rPr>
          <w:rFonts w:ascii="Times New Roman" w:hAnsi="Times New Roman" w:cs="Times New Roman"/>
          <w:i/>
          <w:lang w:val="en-US"/>
        </w:rPr>
        <w:t>’</w:t>
      </w:r>
      <w:r w:rsidRPr="008D4C0A">
        <w:rPr>
          <w:rFonts w:ascii="Times New Roman" w:hAnsi="Times New Roman" w:cs="Times New Roman"/>
          <w:i/>
          <w:lang w:val="en-US"/>
        </w:rPr>
        <w:t xml:space="preserve"> Case (Kingdom of the Netherlands v, Russian Federation)</w:t>
      </w:r>
      <w:r>
        <w:rPr>
          <w:rFonts w:ascii="Times New Roman" w:hAnsi="Times New Roman" w:cs="Times New Roman"/>
          <w:lang w:val="en-US"/>
        </w:rPr>
        <w:t xml:space="preserve">, Order of 22 November 2013, ITLOS Reports (2013), 230.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A105B"/>
    <w:multiLevelType w:val="hybridMultilevel"/>
    <w:tmpl w:val="4FEC71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E6A4C7B"/>
    <w:multiLevelType w:val="hybridMultilevel"/>
    <w:tmpl w:val="2E64F98C"/>
    <w:lvl w:ilvl="0" w:tplc="7FB6EAB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7A155142"/>
    <w:multiLevelType w:val="hybridMultilevel"/>
    <w:tmpl w:val="E618DD5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7D0A65"/>
    <w:rsid w:val="00001886"/>
    <w:rsid w:val="00001F7A"/>
    <w:rsid w:val="00002F54"/>
    <w:rsid w:val="000046D8"/>
    <w:rsid w:val="0001336A"/>
    <w:rsid w:val="000216B4"/>
    <w:rsid w:val="00025CC9"/>
    <w:rsid w:val="00046CA9"/>
    <w:rsid w:val="000479B4"/>
    <w:rsid w:val="000516E8"/>
    <w:rsid w:val="00053421"/>
    <w:rsid w:val="0006090F"/>
    <w:rsid w:val="00073AD0"/>
    <w:rsid w:val="00077B18"/>
    <w:rsid w:val="00081225"/>
    <w:rsid w:val="00084D12"/>
    <w:rsid w:val="00086E6D"/>
    <w:rsid w:val="00097446"/>
    <w:rsid w:val="000A54A4"/>
    <w:rsid w:val="000B0E17"/>
    <w:rsid w:val="000B24B7"/>
    <w:rsid w:val="000B3DBE"/>
    <w:rsid w:val="000B4ACE"/>
    <w:rsid w:val="000C7DE1"/>
    <w:rsid w:val="000D1351"/>
    <w:rsid w:val="000E4073"/>
    <w:rsid w:val="000F00FC"/>
    <w:rsid w:val="000F0C11"/>
    <w:rsid w:val="000F4C72"/>
    <w:rsid w:val="000F7EE9"/>
    <w:rsid w:val="00100755"/>
    <w:rsid w:val="00101681"/>
    <w:rsid w:val="00107253"/>
    <w:rsid w:val="0011339E"/>
    <w:rsid w:val="00114638"/>
    <w:rsid w:val="00120A3E"/>
    <w:rsid w:val="001236B2"/>
    <w:rsid w:val="0013102B"/>
    <w:rsid w:val="00141162"/>
    <w:rsid w:val="00141455"/>
    <w:rsid w:val="0014721F"/>
    <w:rsid w:val="001509BD"/>
    <w:rsid w:val="00150A5D"/>
    <w:rsid w:val="00157D26"/>
    <w:rsid w:val="00160157"/>
    <w:rsid w:val="001640AE"/>
    <w:rsid w:val="00165174"/>
    <w:rsid w:val="00180365"/>
    <w:rsid w:val="00183069"/>
    <w:rsid w:val="00187A90"/>
    <w:rsid w:val="00191823"/>
    <w:rsid w:val="001A5326"/>
    <w:rsid w:val="001D3E5C"/>
    <w:rsid w:val="001E386B"/>
    <w:rsid w:val="001E7C83"/>
    <w:rsid w:val="002005F8"/>
    <w:rsid w:val="002014CC"/>
    <w:rsid w:val="002034C5"/>
    <w:rsid w:val="0022351C"/>
    <w:rsid w:val="0022571D"/>
    <w:rsid w:val="00233756"/>
    <w:rsid w:val="0023564C"/>
    <w:rsid w:val="0024040B"/>
    <w:rsid w:val="002405A7"/>
    <w:rsid w:val="00246EC4"/>
    <w:rsid w:val="002509BC"/>
    <w:rsid w:val="002727DB"/>
    <w:rsid w:val="0028166A"/>
    <w:rsid w:val="00285A1B"/>
    <w:rsid w:val="00285CB2"/>
    <w:rsid w:val="0029376C"/>
    <w:rsid w:val="002A0696"/>
    <w:rsid w:val="002A2685"/>
    <w:rsid w:val="002A35D3"/>
    <w:rsid w:val="002A4701"/>
    <w:rsid w:val="002A790B"/>
    <w:rsid w:val="002B4809"/>
    <w:rsid w:val="002B4C98"/>
    <w:rsid w:val="002B685A"/>
    <w:rsid w:val="002D23A6"/>
    <w:rsid w:val="002D5645"/>
    <w:rsid w:val="002E06B1"/>
    <w:rsid w:val="002E3D2A"/>
    <w:rsid w:val="002F2D39"/>
    <w:rsid w:val="002F77F4"/>
    <w:rsid w:val="00303CDB"/>
    <w:rsid w:val="00305FA4"/>
    <w:rsid w:val="003065B9"/>
    <w:rsid w:val="00313FE3"/>
    <w:rsid w:val="0031541C"/>
    <w:rsid w:val="00315DEB"/>
    <w:rsid w:val="00322E5B"/>
    <w:rsid w:val="00340429"/>
    <w:rsid w:val="00343615"/>
    <w:rsid w:val="003447D2"/>
    <w:rsid w:val="0034498C"/>
    <w:rsid w:val="0034623E"/>
    <w:rsid w:val="00352129"/>
    <w:rsid w:val="003533DC"/>
    <w:rsid w:val="003671C9"/>
    <w:rsid w:val="00367A3F"/>
    <w:rsid w:val="00370F1B"/>
    <w:rsid w:val="00381073"/>
    <w:rsid w:val="00385F88"/>
    <w:rsid w:val="00391B30"/>
    <w:rsid w:val="00393F9B"/>
    <w:rsid w:val="003A2EB5"/>
    <w:rsid w:val="003A4673"/>
    <w:rsid w:val="003B01D6"/>
    <w:rsid w:val="003B6C52"/>
    <w:rsid w:val="003C1EEE"/>
    <w:rsid w:val="003D1A67"/>
    <w:rsid w:val="003D5149"/>
    <w:rsid w:val="003D7199"/>
    <w:rsid w:val="003E2F70"/>
    <w:rsid w:val="003E401C"/>
    <w:rsid w:val="003F513B"/>
    <w:rsid w:val="003F5BC4"/>
    <w:rsid w:val="003F6581"/>
    <w:rsid w:val="003F693C"/>
    <w:rsid w:val="003F73D0"/>
    <w:rsid w:val="00400DF0"/>
    <w:rsid w:val="004053AC"/>
    <w:rsid w:val="00406BA0"/>
    <w:rsid w:val="004118EE"/>
    <w:rsid w:val="00411F6D"/>
    <w:rsid w:val="004236CB"/>
    <w:rsid w:val="004240A8"/>
    <w:rsid w:val="00445EE6"/>
    <w:rsid w:val="00446C6D"/>
    <w:rsid w:val="004506E3"/>
    <w:rsid w:val="00451F0C"/>
    <w:rsid w:val="004520FB"/>
    <w:rsid w:val="004750A6"/>
    <w:rsid w:val="0047686F"/>
    <w:rsid w:val="00480F17"/>
    <w:rsid w:val="004A7488"/>
    <w:rsid w:val="004B7F01"/>
    <w:rsid w:val="004C2277"/>
    <w:rsid w:val="004C54B3"/>
    <w:rsid w:val="004C6CEE"/>
    <w:rsid w:val="004D0712"/>
    <w:rsid w:val="004D167C"/>
    <w:rsid w:val="004E0AFF"/>
    <w:rsid w:val="0050036F"/>
    <w:rsid w:val="00514252"/>
    <w:rsid w:val="00526DB2"/>
    <w:rsid w:val="00547BE7"/>
    <w:rsid w:val="00550DEF"/>
    <w:rsid w:val="005568E3"/>
    <w:rsid w:val="0055798A"/>
    <w:rsid w:val="00562EEB"/>
    <w:rsid w:val="0056638A"/>
    <w:rsid w:val="00567DBB"/>
    <w:rsid w:val="00567F6C"/>
    <w:rsid w:val="00581527"/>
    <w:rsid w:val="00584AA8"/>
    <w:rsid w:val="0059103C"/>
    <w:rsid w:val="00594357"/>
    <w:rsid w:val="005A3280"/>
    <w:rsid w:val="005A50CA"/>
    <w:rsid w:val="005A6A5A"/>
    <w:rsid w:val="005B273E"/>
    <w:rsid w:val="005B2E4F"/>
    <w:rsid w:val="005B5703"/>
    <w:rsid w:val="005C0280"/>
    <w:rsid w:val="005C5DC1"/>
    <w:rsid w:val="005D040B"/>
    <w:rsid w:val="005D65C3"/>
    <w:rsid w:val="005F2420"/>
    <w:rsid w:val="005F31DE"/>
    <w:rsid w:val="005F3664"/>
    <w:rsid w:val="005F65A1"/>
    <w:rsid w:val="00604993"/>
    <w:rsid w:val="00604D20"/>
    <w:rsid w:val="00606F0A"/>
    <w:rsid w:val="006100F1"/>
    <w:rsid w:val="00613329"/>
    <w:rsid w:val="00626F96"/>
    <w:rsid w:val="006379DB"/>
    <w:rsid w:val="00646BBE"/>
    <w:rsid w:val="00650F36"/>
    <w:rsid w:val="006536B6"/>
    <w:rsid w:val="006561A5"/>
    <w:rsid w:val="00656CEF"/>
    <w:rsid w:val="00657382"/>
    <w:rsid w:val="0066555D"/>
    <w:rsid w:val="006701B7"/>
    <w:rsid w:val="0067519B"/>
    <w:rsid w:val="00682370"/>
    <w:rsid w:val="006A75BC"/>
    <w:rsid w:val="006B21E9"/>
    <w:rsid w:val="006C1AAA"/>
    <w:rsid w:val="006D2E97"/>
    <w:rsid w:val="006D43E1"/>
    <w:rsid w:val="006E0F65"/>
    <w:rsid w:val="006E70E4"/>
    <w:rsid w:val="006E729E"/>
    <w:rsid w:val="006F53C6"/>
    <w:rsid w:val="00705431"/>
    <w:rsid w:val="00710446"/>
    <w:rsid w:val="00711DFB"/>
    <w:rsid w:val="007149B9"/>
    <w:rsid w:val="00715C46"/>
    <w:rsid w:val="00721228"/>
    <w:rsid w:val="0073244B"/>
    <w:rsid w:val="0073518E"/>
    <w:rsid w:val="0073634A"/>
    <w:rsid w:val="00752D5A"/>
    <w:rsid w:val="007530AD"/>
    <w:rsid w:val="007559C4"/>
    <w:rsid w:val="00757280"/>
    <w:rsid w:val="00762B08"/>
    <w:rsid w:val="00764FF8"/>
    <w:rsid w:val="00784709"/>
    <w:rsid w:val="00784E0B"/>
    <w:rsid w:val="007969EE"/>
    <w:rsid w:val="007A1EFB"/>
    <w:rsid w:val="007A6207"/>
    <w:rsid w:val="007B5474"/>
    <w:rsid w:val="007D0A65"/>
    <w:rsid w:val="007D464C"/>
    <w:rsid w:val="007D6C67"/>
    <w:rsid w:val="007D7A5E"/>
    <w:rsid w:val="007E4B71"/>
    <w:rsid w:val="008060EE"/>
    <w:rsid w:val="00807098"/>
    <w:rsid w:val="00816E91"/>
    <w:rsid w:val="00822D95"/>
    <w:rsid w:val="00834762"/>
    <w:rsid w:val="00836572"/>
    <w:rsid w:val="00836E9E"/>
    <w:rsid w:val="00851F7B"/>
    <w:rsid w:val="00862E3F"/>
    <w:rsid w:val="00863093"/>
    <w:rsid w:val="008670F7"/>
    <w:rsid w:val="0087165B"/>
    <w:rsid w:val="00872FF5"/>
    <w:rsid w:val="00881692"/>
    <w:rsid w:val="00882218"/>
    <w:rsid w:val="00882300"/>
    <w:rsid w:val="00885A65"/>
    <w:rsid w:val="00893FA1"/>
    <w:rsid w:val="008A4FEB"/>
    <w:rsid w:val="008A53B9"/>
    <w:rsid w:val="008B02D6"/>
    <w:rsid w:val="008B186B"/>
    <w:rsid w:val="008B3464"/>
    <w:rsid w:val="008C6361"/>
    <w:rsid w:val="008C6F00"/>
    <w:rsid w:val="008D4C0A"/>
    <w:rsid w:val="008E2B3C"/>
    <w:rsid w:val="008E51CF"/>
    <w:rsid w:val="008F16AA"/>
    <w:rsid w:val="008F5B63"/>
    <w:rsid w:val="008F7439"/>
    <w:rsid w:val="0090118B"/>
    <w:rsid w:val="00903101"/>
    <w:rsid w:val="00904B7E"/>
    <w:rsid w:val="00907311"/>
    <w:rsid w:val="00910C23"/>
    <w:rsid w:val="00911624"/>
    <w:rsid w:val="009173AC"/>
    <w:rsid w:val="0092266A"/>
    <w:rsid w:val="00924F57"/>
    <w:rsid w:val="0093389F"/>
    <w:rsid w:val="00936979"/>
    <w:rsid w:val="00937D10"/>
    <w:rsid w:val="00941354"/>
    <w:rsid w:val="00942726"/>
    <w:rsid w:val="00942A5D"/>
    <w:rsid w:val="00944CA2"/>
    <w:rsid w:val="00952E00"/>
    <w:rsid w:val="00954D2C"/>
    <w:rsid w:val="00956F99"/>
    <w:rsid w:val="009614EA"/>
    <w:rsid w:val="00973A44"/>
    <w:rsid w:val="00974175"/>
    <w:rsid w:val="00982A7E"/>
    <w:rsid w:val="00986EFB"/>
    <w:rsid w:val="009923F8"/>
    <w:rsid w:val="00992B69"/>
    <w:rsid w:val="009931EF"/>
    <w:rsid w:val="00997F6C"/>
    <w:rsid w:val="009A7E88"/>
    <w:rsid w:val="009B1E79"/>
    <w:rsid w:val="009B1F08"/>
    <w:rsid w:val="009B5CF9"/>
    <w:rsid w:val="009B75CA"/>
    <w:rsid w:val="009B7F03"/>
    <w:rsid w:val="009C53B2"/>
    <w:rsid w:val="009D164A"/>
    <w:rsid w:val="009D2C48"/>
    <w:rsid w:val="009D55EA"/>
    <w:rsid w:val="009E5E62"/>
    <w:rsid w:val="009E7EF0"/>
    <w:rsid w:val="009F4D31"/>
    <w:rsid w:val="009F67A2"/>
    <w:rsid w:val="00A002CE"/>
    <w:rsid w:val="00A11642"/>
    <w:rsid w:val="00A135E5"/>
    <w:rsid w:val="00A16809"/>
    <w:rsid w:val="00A20F82"/>
    <w:rsid w:val="00A25808"/>
    <w:rsid w:val="00A32666"/>
    <w:rsid w:val="00A32A96"/>
    <w:rsid w:val="00A34860"/>
    <w:rsid w:val="00A375B3"/>
    <w:rsid w:val="00A37D2D"/>
    <w:rsid w:val="00A420EA"/>
    <w:rsid w:val="00A54C6D"/>
    <w:rsid w:val="00A629E3"/>
    <w:rsid w:val="00A7329B"/>
    <w:rsid w:val="00A7529D"/>
    <w:rsid w:val="00A75DE8"/>
    <w:rsid w:val="00A75F07"/>
    <w:rsid w:val="00A765F7"/>
    <w:rsid w:val="00A83338"/>
    <w:rsid w:val="00A86825"/>
    <w:rsid w:val="00A90A1F"/>
    <w:rsid w:val="00A97CAD"/>
    <w:rsid w:val="00AA36D1"/>
    <w:rsid w:val="00AB3E6D"/>
    <w:rsid w:val="00AC210D"/>
    <w:rsid w:val="00AD1C4E"/>
    <w:rsid w:val="00AD24F5"/>
    <w:rsid w:val="00AD3636"/>
    <w:rsid w:val="00AD5720"/>
    <w:rsid w:val="00AD5AE1"/>
    <w:rsid w:val="00AE12E9"/>
    <w:rsid w:val="00AE43B8"/>
    <w:rsid w:val="00AF2242"/>
    <w:rsid w:val="00AF3753"/>
    <w:rsid w:val="00AF43BB"/>
    <w:rsid w:val="00AF4B65"/>
    <w:rsid w:val="00B0562B"/>
    <w:rsid w:val="00B0782E"/>
    <w:rsid w:val="00B11EBF"/>
    <w:rsid w:val="00B12557"/>
    <w:rsid w:val="00B15805"/>
    <w:rsid w:val="00B2585A"/>
    <w:rsid w:val="00B25C0A"/>
    <w:rsid w:val="00B3056B"/>
    <w:rsid w:val="00B30F14"/>
    <w:rsid w:val="00B34E9F"/>
    <w:rsid w:val="00B36E86"/>
    <w:rsid w:val="00B37090"/>
    <w:rsid w:val="00B40FD2"/>
    <w:rsid w:val="00B43C49"/>
    <w:rsid w:val="00B4753F"/>
    <w:rsid w:val="00B539DE"/>
    <w:rsid w:val="00B552BA"/>
    <w:rsid w:val="00B73569"/>
    <w:rsid w:val="00B7404D"/>
    <w:rsid w:val="00B77CF0"/>
    <w:rsid w:val="00B807C5"/>
    <w:rsid w:val="00B866B2"/>
    <w:rsid w:val="00B915DD"/>
    <w:rsid w:val="00B95244"/>
    <w:rsid w:val="00B96C38"/>
    <w:rsid w:val="00BA1F21"/>
    <w:rsid w:val="00BA35BA"/>
    <w:rsid w:val="00BA4270"/>
    <w:rsid w:val="00BB1F23"/>
    <w:rsid w:val="00BC23F2"/>
    <w:rsid w:val="00BC2FFC"/>
    <w:rsid w:val="00BC32A1"/>
    <w:rsid w:val="00BC4446"/>
    <w:rsid w:val="00BC4B8A"/>
    <w:rsid w:val="00BD37E6"/>
    <w:rsid w:val="00BD5DCE"/>
    <w:rsid w:val="00BD76A7"/>
    <w:rsid w:val="00BE3751"/>
    <w:rsid w:val="00BF0BAD"/>
    <w:rsid w:val="00BF3E06"/>
    <w:rsid w:val="00C0080B"/>
    <w:rsid w:val="00C06565"/>
    <w:rsid w:val="00C1227D"/>
    <w:rsid w:val="00C22778"/>
    <w:rsid w:val="00C23414"/>
    <w:rsid w:val="00C25571"/>
    <w:rsid w:val="00C3292C"/>
    <w:rsid w:val="00C3572F"/>
    <w:rsid w:val="00C379CE"/>
    <w:rsid w:val="00C424B0"/>
    <w:rsid w:val="00C4297A"/>
    <w:rsid w:val="00C44943"/>
    <w:rsid w:val="00C50F1B"/>
    <w:rsid w:val="00C66010"/>
    <w:rsid w:val="00C66528"/>
    <w:rsid w:val="00C73FB2"/>
    <w:rsid w:val="00C74DE6"/>
    <w:rsid w:val="00C75C26"/>
    <w:rsid w:val="00C77771"/>
    <w:rsid w:val="00C80752"/>
    <w:rsid w:val="00C81D41"/>
    <w:rsid w:val="00C85967"/>
    <w:rsid w:val="00C86E34"/>
    <w:rsid w:val="00C91D8B"/>
    <w:rsid w:val="00C93E69"/>
    <w:rsid w:val="00C93ED2"/>
    <w:rsid w:val="00C96AEA"/>
    <w:rsid w:val="00CA0198"/>
    <w:rsid w:val="00CB29A8"/>
    <w:rsid w:val="00CD06B2"/>
    <w:rsid w:val="00CE7340"/>
    <w:rsid w:val="00D01E04"/>
    <w:rsid w:val="00D03024"/>
    <w:rsid w:val="00D0671D"/>
    <w:rsid w:val="00D07759"/>
    <w:rsid w:val="00D1513F"/>
    <w:rsid w:val="00D15604"/>
    <w:rsid w:val="00D169C4"/>
    <w:rsid w:val="00D2631E"/>
    <w:rsid w:val="00D326A1"/>
    <w:rsid w:val="00D34F09"/>
    <w:rsid w:val="00D373C9"/>
    <w:rsid w:val="00D37F2C"/>
    <w:rsid w:val="00D4531E"/>
    <w:rsid w:val="00D5122C"/>
    <w:rsid w:val="00D54CCF"/>
    <w:rsid w:val="00D64432"/>
    <w:rsid w:val="00D718B6"/>
    <w:rsid w:val="00D73279"/>
    <w:rsid w:val="00D808EE"/>
    <w:rsid w:val="00D84E27"/>
    <w:rsid w:val="00D870B0"/>
    <w:rsid w:val="00DB1188"/>
    <w:rsid w:val="00DC34DA"/>
    <w:rsid w:val="00DE3278"/>
    <w:rsid w:val="00DF0067"/>
    <w:rsid w:val="00DF0DA2"/>
    <w:rsid w:val="00DF2653"/>
    <w:rsid w:val="00E00E82"/>
    <w:rsid w:val="00E012DF"/>
    <w:rsid w:val="00E029E6"/>
    <w:rsid w:val="00E05330"/>
    <w:rsid w:val="00E14F0F"/>
    <w:rsid w:val="00E257AD"/>
    <w:rsid w:val="00E2764C"/>
    <w:rsid w:val="00E337B5"/>
    <w:rsid w:val="00E41C9A"/>
    <w:rsid w:val="00E43A16"/>
    <w:rsid w:val="00E4785F"/>
    <w:rsid w:val="00E523C6"/>
    <w:rsid w:val="00E54D79"/>
    <w:rsid w:val="00E5577E"/>
    <w:rsid w:val="00E60C70"/>
    <w:rsid w:val="00E64943"/>
    <w:rsid w:val="00E6584A"/>
    <w:rsid w:val="00E666E1"/>
    <w:rsid w:val="00E70AFC"/>
    <w:rsid w:val="00E72AEA"/>
    <w:rsid w:val="00E753E7"/>
    <w:rsid w:val="00E81F94"/>
    <w:rsid w:val="00E839F1"/>
    <w:rsid w:val="00E83D0F"/>
    <w:rsid w:val="00E936E5"/>
    <w:rsid w:val="00EA3767"/>
    <w:rsid w:val="00EB279E"/>
    <w:rsid w:val="00EB63F9"/>
    <w:rsid w:val="00EC2B13"/>
    <w:rsid w:val="00EC416F"/>
    <w:rsid w:val="00EC4BE5"/>
    <w:rsid w:val="00ED1C60"/>
    <w:rsid w:val="00ED5CB7"/>
    <w:rsid w:val="00EE2AA6"/>
    <w:rsid w:val="00F017D1"/>
    <w:rsid w:val="00F02682"/>
    <w:rsid w:val="00F0510C"/>
    <w:rsid w:val="00F053FD"/>
    <w:rsid w:val="00F12DEB"/>
    <w:rsid w:val="00F137E4"/>
    <w:rsid w:val="00F267E8"/>
    <w:rsid w:val="00F342E1"/>
    <w:rsid w:val="00F4341A"/>
    <w:rsid w:val="00F45839"/>
    <w:rsid w:val="00F45C9B"/>
    <w:rsid w:val="00F52F7A"/>
    <w:rsid w:val="00F640C0"/>
    <w:rsid w:val="00F652A7"/>
    <w:rsid w:val="00F712AE"/>
    <w:rsid w:val="00F73A5C"/>
    <w:rsid w:val="00F73EAE"/>
    <w:rsid w:val="00F8497D"/>
    <w:rsid w:val="00F87B3F"/>
    <w:rsid w:val="00FA2DE7"/>
    <w:rsid w:val="00FB5F79"/>
    <w:rsid w:val="00FB6980"/>
    <w:rsid w:val="00FB7801"/>
    <w:rsid w:val="00FC4697"/>
    <w:rsid w:val="00FC5355"/>
    <w:rsid w:val="00FC5709"/>
    <w:rsid w:val="00FD0BF8"/>
    <w:rsid w:val="00FD1F6E"/>
    <w:rsid w:val="00FD295E"/>
    <w:rsid w:val="00FE38DC"/>
    <w:rsid w:val="00FE556E"/>
    <w:rsid w:val="00FF0132"/>
    <w:rsid w:val="00FF2D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207"/>
  </w:style>
  <w:style w:type="paragraph" w:styleId="Titolo1">
    <w:name w:val="heading 1"/>
    <w:basedOn w:val="Normale"/>
    <w:next w:val="Normale"/>
    <w:link w:val="Titolo1Carattere"/>
    <w:uiPriority w:val="9"/>
    <w:qFormat/>
    <w:rsid w:val="00240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640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9413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464C"/>
    <w:pPr>
      <w:ind w:left="720"/>
      <w:contextualSpacing/>
    </w:pPr>
  </w:style>
  <w:style w:type="paragraph" w:styleId="Intestazione">
    <w:name w:val="header"/>
    <w:basedOn w:val="Normale"/>
    <w:link w:val="IntestazioneCarattere"/>
    <w:uiPriority w:val="99"/>
    <w:semiHidden/>
    <w:unhideWhenUsed/>
    <w:rsid w:val="004C6C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C6CEE"/>
  </w:style>
  <w:style w:type="paragraph" w:styleId="Pidipagina">
    <w:name w:val="footer"/>
    <w:basedOn w:val="Normale"/>
    <w:link w:val="PidipaginaCarattere"/>
    <w:uiPriority w:val="99"/>
    <w:unhideWhenUsed/>
    <w:rsid w:val="004C6C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6CEE"/>
  </w:style>
  <w:style w:type="paragraph" w:styleId="Testonotaapidipagina">
    <w:name w:val="footnote text"/>
    <w:basedOn w:val="Normale"/>
    <w:link w:val="TestonotaapidipaginaCarattere"/>
    <w:unhideWhenUsed/>
    <w:rsid w:val="009338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93389F"/>
    <w:rPr>
      <w:sz w:val="20"/>
      <w:szCs w:val="20"/>
    </w:rPr>
  </w:style>
  <w:style w:type="character" w:styleId="Rimandonotaapidipagina">
    <w:name w:val="footnote reference"/>
    <w:basedOn w:val="Carpredefinitoparagrafo"/>
    <w:unhideWhenUsed/>
    <w:rsid w:val="0093389F"/>
    <w:rPr>
      <w:vertAlign w:val="superscript"/>
    </w:rPr>
  </w:style>
  <w:style w:type="paragraph" w:styleId="Testonormale">
    <w:name w:val="Plain Text"/>
    <w:basedOn w:val="Normale"/>
    <w:link w:val="TestonormaleCarattere"/>
    <w:rsid w:val="00B34E9F"/>
    <w:pPr>
      <w:spacing w:after="0" w:line="240" w:lineRule="auto"/>
    </w:pPr>
    <w:rPr>
      <w:rFonts w:ascii="Courier New" w:eastAsia="Times New Roman" w:hAnsi="Courier New" w:cs="Courier New"/>
      <w:sz w:val="20"/>
      <w:szCs w:val="20"/>
      <w:lang w:val="en-US"/>
    </w:rPr>
  </w:style>
  <w:style w:type="character" w:customStyle="1" w:styleId="TestonormaleCarattere">
    <w:name w:val="Testo normale Carattere"/>
    <w:basedOn w:val="Carpredefinitoparagrafo"/>
    <w:link w:val="Testonormale"/>
    <w:rsid w:val="00B34E9F"/>
    <w:rPr>
      <w:rFonts w:ascii="Courier New" w:eastAsia="Times New Roman" w:hAnsi="Courier New" w:cs="Courier New"/>
      <w:sz w:val="20"/>
      <w:szCs w:val="20"/>
      <w:lang w:val="en-US"/>
    </w:rPr>
  </w:style>
  <w:style w:type="character" w:styleId="Collegamentoipertestuale">
    <w:name w:val="Hyperlink"/>
    <w:basedOn w:val="Carpredefinitoparagrafo"/>
    <w:uiPriority w:val="99"/>
    <w:unhideWhenUsed/>
    <w:rsid w:val="00446C6D"/>
    <w:rPr>
      <w:color w:val="0000FF" w:themeColor="hyperlink"/>
      <w:u w:val="single"/>
    </w:rPr>
  </w:style>
  <w:style w:type="paragraph" w:styleId="NormaleWeb">
    <w:name w:val="Normal (Web)"/>
    <w:basedOn w:val="Normale"/>
    <w:uiPriority w:val="99"/>
    <w:semiHidden/>
    <w:unhideWhenUsed/>
    <w:rsid w:val="000F0C11"/>
    <w:rPr>
      <w:rFonts w:ascii="Times New Roman" w:hAnsi="Times New Roman" w:cs="Times New Roman"/>
      <w:sz w:val="24"/>
      <w:szCs w:val="24"/>
    </w:rPr>
  </w:style>
  <w:style w:type="paragraph" w:customStyle="1" w:styleId="Default">
    <w:name w:val="Default"/>
    <w:rsid w:val="002257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2Carattere">
    <w:name w:val="Titolo 2 Carattere"/>
    <w:basedOn w:val="Carpredefinitoparagrafo"/>
    <w:link w:val="Titolo2"/>
    <w:uiPriority w:val="9"/>
    <w:semiHidden/>
    <w:rsid w:val="00F640C0"/>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EE2AA6"/>
    <w:rPr>
      <w:i/>
      <w:iCs/>
    </w:rPr>
  </w:style>
  <w:style w:type="character" w:customStyle="1" w:styleId="Titolo1Carattere">
    <w:name w:val="Titolo 1 Carattere"/>
    <w:basedOn w:val="Carpredefinitoparagrafo"/>
    <w:link w:val="Titolo1"/>
    <w:uiPriority w:val="9"/>
    <w:rsid w:val="0024040B"/>
    <w:rPr>
      <w:rFonts w:asciiTheme="majorHAnsi" w:eastAsiaTheme="majorEastAsia" w:hAnsiTheme="majorHAnsi" w:cstheme="majorBidi"/>
      <w:b/>
      <w:bCs/>
      <w:color w:val="365F91" w:themeColor="accent1" w:themeShade="BF"/>
      <w:sz w:val="28"/>
      <w:szCs w:val="28"/>
    </w:rPr>
  </w:style>
  <w:style w:type="character" w:customStyle="1" w:styleId="st">
    <w:name w:val="st"/>
    <w:basedOn w:val="Carpredefinitoparagrafo"/>
    <w:rsid w:val="00EA3767"/>
  </w:style>
  <w:style w:type="paragraph" w:styleId="Testocommento">
    <w:name w:val="annotation text"/>
    <w:basedOn w:val="Normale"/>
    <w:link w:val="TestocommentoCarattere"/>
    <w:uiPriority w:val="99"/>
    <w:unhideWhenUsed/>
    <w:rsid w:val="00097446"/>
    <w:pPr>
      <w:spacing w:line="240" w:lineRule="auto"/>
    </w:pPr>
    <w:rPr>
      <w:sz w:val="20"/>
      <w:szCs w:val="20"/>
    </w:rPr>
  </w:style>
  <w:style w:type="character" w:customStyle="1" w:styleId="TestocommentoCarattere">
    <w:name w:val="Testo commento Carattere"/>
    <w:basedOn w:val="Carpredefinitoparagrafo"/>
    <w:link w:val="Testocommento"/>
    <w:uiPriority w:val="99"/>
    <w:rsid w:val="00097446"/>
    <w:rPr>
      <w:sz w:val="20"/>
      <w:szCs w:val="20"/>
    </w:rPr>
  </w:style>
  <w:style w:type="character" w:styleId="Rimandocommento">
    <w:name w:val="annotation reference"/>
    <w:basedOn w:val="Carpredefinitoparagrafo"/>
    <w:uiPriority w:val="99"/>
    <w:semiHidden/>
    <w:unhideWhenUsed/>
    <w:rsid w:val="00097446"/>
    <w:rPr>
      <w:sz w:val="18"/>
      <w:szCs w:val="18"/>
    </w:rPr>
  </w:style>
  <w:style w:type="paragraph" w:styleId="Testofumetto">
    <w:name w:val="Balloon Text"/>
    <w:basedOn w:val="Normale"/>
    <w:link w:val="TestofumettoCarattere"/>
    <w:uiPriority w:val="99"/>
    <w:semiHidden/>
    <w:unhideWhenUsed/>
    <w:rsid w:val="000974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7446"/>
    <w:rPr>
      <w:rFonts w:ascii="Tahoma" w:hAnsi="Tahoma" w:cs="Tahoma"/>
      <w:sz w:val="16"/>
      <w:szCs w:val="16"/>
    </w:rPr>
  </w:style>
  <w:style w:type="character" w:customStyle="1" w:styleId="Titolo3Carattere">
    <w:name w:val="Titolo 3 Carattere"/>
    <w:basedOn w:val="Carpredefinitoparagrafo"/>
    <w:link w:val="Titolo3"/>
    <w:uiPriority w:val="9"/>
    <w:semiHidden/>
    <w:rsid w:val="00941354"/>
    <w:rPr>
      <w:rFonts w:asciiTheme="majorHAnsi" w:eastAsiaTheme="majorEastAsia" w:hAnsiTheme="majorHAnsi" w:cstheme="majorBidi"/>
      <w:b/>
      <w:bCs/>
      <w:color w:val="4F81BD" w:themeColor="accent1"/>
    </w:rPr>
  </w:style>
  <w:style w:type="character" w:customStyle="1" w:styleId="current">
    <w:name w:val="current"/>
    <w:basedOn w:val="Carpredefinitoparagrafo"/>
    <w:rsid w:val="00381073"/>
  </w:style>
  <w:style w:type="character" w:customStyle="1" w:styleId="addmd">
    <w:name w:val="addmd"/>
    <w:basedOn w:val="Carpredefinitoparagrafo"/>
    <w:rsid w:val="007A1EFB"/>
  </w:style>
  <w:style w:type="paragraph" w:styleId="Soggettocommento">
    <w:name w:val="annotation subject"/>
    <w:basedOn w:val="Testocommento"/>
    <w:next w:val="Testocommento"/>
    <w:link w:val="SoggettocommentoCarattere"/>
    <w:uiPriority w:val="99"/>
    <w:semiHidden/>
    <w:unhideWhenUsed/>
    <w:rsid w:val="00AA36D1"/>
    <w:rPr>
      <w:b/>
      <w:bCs/>
    </w:rPr>
  </w:style>
  <w:style w:type="character" w:customStyle="1" w:styleId="SoggettocommentoCarattere">
    <w:name w:val="Soggetto commento Carattere"/>
    <w:basedOn w:val="TestocommentoCarattere"/>
    <w:link w:val="Soggettocommento"/>
    <w:uiPriority w:val="99"/>
    <w:semiHidden/>
    <w:rsid w:val="00AA36D1"/>
    <w:rPr>
      <w:b/>
      <w:bCs/>
    </w:rPr>
  </w:style>
</w:styles>
</file>

<file path=word/webSettings.xml><?xml version="1.0" encoding="utf-8"?>
<w:webSettings xmlns:r="http://schemas.openxmlformats.org/officeDocument/2006/relationships" xmlns:w="http://schemas.openxmlformats.org/wordprocessingml/2006/main">
  <w:divs>
    <w:div w:id="11807424">
      <w:bodyDiv w:val="1"/>
      <w:marLeft w:val="0"/>
      <w:marRight w:val="0"/>
      <w:marTop w:val="0"/>
      <w:marBottom w:val="0"/>
      <w:divBdr>
        <w:top w:val="none" w:sz="0" w:space="0" w:color="auto"/>
        <w:left w:val="none" w:sz="0" w:space="0" w:color="auto"/>
        <w:bottom w:val="none" w:sz="0" w:space="0" w:color="auto"/>
        <w:right w:val="none" w:sz="0" w:space="0" w:color="auto"/>
      </w:divBdr>
      <w:divsChild>
        <w:div w:id="1613709153">
          <w:marLeft w:val="0"/>
          <w:marRight w:val="0"/>
          <w:marTop w:val="0"/>
          <w:marBottom w:val="0"/>
          <w:divBdr>
            <w:top w:val="none" w:sz="0" w:space="0" w:color="auto"/>
            <w:left w:val="none" w:sz="0" w:space="0" w:color="auto"/>
            <w:bottom w:val="none" w:sz="0" w:space="0" w:color="auto"/>
            <w:right w:val="none" w:sz="0" w:space="0" w:color="auto"/>
          </w:divBdr>
        </w:div>
        <w:div w:id="1993631468">
          <w:marLeft w:val="0"/>
          <w:marRight w:val="0"/>
          <w:marTop w:val="0"/>
          <w:marBottom w:val="0"/>
          <w:divBdr>
            <w:top w:val="none" w:sz="0" w:space="0" w:color="auto"/>
            <w:left w:val="none" w:sz="0" w:space="0" w:color="auto"/>
            <w:bottom w:val="none" w:sz="0" w:space="0" w:color="auto"/>
            <w:right w:val="none" w:sz="0" w:space="0" w:color="auto"/>
          </w:divBdr>
        </w:div>
        <w:div w:id="29569536">
          <w:marLeft w:val="0"/>
          <w:marRight w:val="0"/>
          <w:marTop w:val="0"/>
          <w:marBottom w:val="0"/>
          <w:divBdr>
            <w:top w:val="none" w:sz="0" w:space="0" w:color="auto"/>
            <w:left w:val="none" w:sz="0" w:space="0" w:color="auto"/>
            <w:bottom w:val="none" w:sz="0" w:space="0" w:color="auto"/>
            <w:right w:val="none" w:sz="0" w:space="0" w:color="auto"/>
          </w:divBdr>
        </w:div>
        <w:div w:id="960843967">
          <w:marLeft w:val="0"/>
          <w:marRight w:val="0"/>
          <w:marTop w:val="0"/>
          <w:marBottom w:val="0"/>
          <w:divBdr>
            <w:top w:val="none" w:sz="0" w:space="0" w:color="auto"/>
            <w:left w:val="none" w:sz="0" w:space="0" w:color="auto"/>
            <w:bottom w:val="none" w:sz="0" w:space="0" w:color="auto"/>
            <w:right w:val="none" w:sz="0" w:space="0" w:color="auto"/>
          </w:divBdr>
        </w:div>
        <w:div w:id="1044016673">
          <w:marLeft w:val="0"/>
          <w:marRight w:val="0"/>
          <w:marTop w:val="0"/>
          <w:marBottom w:val="0"/>
          <w:divBdr>
            <w:top w:val="none" w:sz="0" w:space="0" w:color="auto"/>
            <w:left w:val="none" w:sz="0" w:space="0" w:color="auto"/>
            <w:bottom w:val="none" w:sz="0" w:space="0" w:color="auto"/>
            <w:right w:val="none" w:sz="0" w:space="0" w:color="auto"/>
          </w:divBdr>
        </w:div>
      </w:divsChild>
    </w:div>
    <w:div w:id="35586491">
      <w:bodyDiv w:val="1"/>
      <w:marLeft w:val="0"/>
      <w:marRight w:val="0"/>
      <w:marTop w:val="0"/>
      <w:marBottom w:val="0"/>
      <w:divBdr>
        <w:top w:val="none" w:sz="0" w:space="0" w:color="auto"/>
        <w:left w:val="none" w:sz="0" w:space="0" w:color="auto"/>
        <w:bottom w:val="none" w:sz="0" w:space="0" w:color="auto"/>
        <w:right w:val="none" w:sz="0" w:space="0" w:color="auto"/>
      </w:divBdr>
    </w:div>
    <w:div w:id="69695990">
      <w:bodyDiv w:val="1"/>
      <w:marLeft w:val="0"/>
      <w:marRight w:val="0"/>
      <w:marTop w:val="0"/>
      <w:marBottom w:val="0"/>
      <w:divBdr>
        <w:top w:val="none" w:sz="0" w:space="0" w:color="auto"/>
        <w:left w:val="none" w:sz="0" w:space="0" w:color="auto"/>
        <w:bottom w:val="none" w:sz="0" w:space="0" w:color="auto"/>
        <w:right w:val="none" w:sz="0" w:space="0" w:color="auto"/>
      </w:divBdr>
      <w:divsChild>
        <w:div w:id="989596238">
          <w:marLeft w:val="0"/>
          <w:marRight w:val="0"/>
          <w:marTop w:val="0"/>
          <w:marBottom w:val="0"/>
          <w:divBdr>
            <w:top w:val="none" w:sz="0" w:space="0" w:color="auto"/>
            <w:left w:val="none" w:sz="0" w:space="0" w:color="auto"/>
            <w:bottom w:val="none" w:sz="0" w:space="0" w:color="auto"/>
            <w:right w:val="none" w:sz="0" w:space="0" w:color="auto"/>
          </w:divBdr>
        </w:div>
        <w:div w:id="1596210136">
          <w:marLeft w:val="0"/>
          <w:marRight w:val="0"/>
          <w:marTop w:val="0"/>
          <w:marBottom w:val="0"/>
          <w:divBdr>
            <w:top w:val="none" w:sz="0" w:space="0" w:color="auto"/>
            <w:left w:val="none" w:sz="0" w:space="0" w:color="auto"/>
            <w:bottom w:val="none" w:sz="0" w:space="0" w:color="auto"/>
            <w:right w:val="none" w:sz="0" w:space="0" w:color="auto"/>
          </w:divBdr>
        </w:div>
        <w:div w:id="2005231940">
          <w:marLeft w:val="0"/>
          <w:marRight w:val="0"/>
          <w:marTop w:val="0"/>
          <w:marBottom w:val="0"/>
          <w:divBdr>
            <w:top w:val="none" w:sz="0" w:space="0" w:color="auto"/>
            <w:left w:val="none" w:sz="0" w:space="0" w:color="auto"/>
            <w:bottom w:val="none" w:sz="0" w:space="0" w:color="auto"/>
            <w:right w:val="none" w:sz="0" w:space="0" w:color="auto"/>
          </w:divBdr>
        </w:div>
      </w:divsChild>
    </w:div>
    <w:div w:id="85544973">
      <w:bodyDiv w:val="1"/>
      <w:marLeft w:val="0"/>
      <w:marRight w:val="0"/>
      <w:marTop w:val="0"/>
      <w:marBottom w:val="0"/>
      <w:divBdr>
        <w:top w:val="none" w:sz="0" w:space="0" w:color="auto"/>
        <w:left w:val="none" w:sz="0" w:space="0" w:color="auto"/>
        <w:bottom w:val="none" w:sz="0" w:space="0" w:color="auto"/>
        <w:right w:val="none" w:sz="0" w:space="0" w:color="auto"/>
      </w:divBdr>
      <w:divsChild>
        <w:div w:id="1943219479">
          <w:marLeft w:val="0"/>
          <w:marRight w:val="0"/>
          <w:marTop w:val="0"/>
          <w:marBottom w:val="0"/>
          <w:divBdr>
            <w:top w:val="none" w:sz="0" w:space="0" w:color="auto"/>
            <w:left w:val="none" w:sz="0" w:space="0" w:color="auto"/>
            <w:bottom w:val="none" w:sz="0" w:space="0" w:color="auto"/>
            <w:right w:val="none" w:sz="0" w:space="0" w:color="auto"/>
          </w:divBdr>
        </w:div>
        <w:div w:id="1509640487">
          <w:marLeft w:val="0"/>
          <w:marRight w:val="0"/>
          <w:marTop w:val="0"/>
          <w:marBottom w:val="0"/>
          <w:divBdr>
            <w:top w:val="none" w:sz="0" w:space="0" w:color="auto"/>
            <w:left w:val="none" w:sz="0" w:space="0" w:color="auto"/>
            <w:bottom w:val="none" w:sz="0" w:space="0" w:color="auto"/>
            <w:right w:val="none" w:sz="0" w:space="0" w:color="auto"/>
          </w:divBdr>
        </w:div>
        <w:div w:id="67774503">
          <w:marLeft w:val="0"/>
          <w:marRight w:val="0"/>
          <w:marTop w:val="0"/>
          <w:marBottom w:val="0"/>
          <w:divBdr>
            <w:top w:val="none" w:sz="0" w:space="0" w:color="auto"/>
            <w:left w:val="none" w:sz="0" w:space="0" w:color="auto"/>
            <w:bottom w:val="none" w:sz="0" w:space="0" w:color="auto"/>
            <w:right w:val="none" w:sz="0" w:space="0" w:color="auto"/>
          </w:divBdr>
        </w:div>
        <w:div w:id="1652253067">
          <w:marLeft w:val="0"/>
          <w:marRight w:val="0"/>
          <w:marTop w:val="0"/>
          <w:marBottom w:val="0"/>
          <w:divBdr>
            <w:top w:val="none" w:sz="0" w:space="0" w:color="auto"/>
            <w:left w:val="none" w:sz="0" w:space="0" w:color="auto"/>
            <w:bottom w:val="none" w:sz="0" w:space="0" w:color="auto"/>
            <w:right w:val="none" w:sz="0" w:space="0" w:color="auto"/>
          </w:divBdr>
        </w:div>
        <w:div w:id="786200418">
          <w:marLeft w:val="0"/>
          <w:marRight w:val="0"/>
          <w:marTop w:val="0"/>
          <w:marBottom w:val="0"/>
          <w:divBdr>
            <w:top w:val="none" w:sz="0" w:space="0" w:color="auto"/>
            <w:left w:val="none" w:sz="0" w:space="0" w:color="auto"/>
            <w:bottom w:val="none" w:sz="0" w:space="0" w:color="auto"/>
            <w:right w:val="none" w:sz="0" w:space="0" w:color="auto"/>
          </w:divBdr>
        </w:div>
      </w:divsChild>
    </w:div>
    <w:div w:id="94256789">
      <w:bodyDiv w:val="1"/>
      <w:marLeft w:val="0"/>
      <w:marRight w:val="0"/>
      <w:marTop w:val="0"/>
      <w:marBottom w:val="0"/>
      <w:divBdr>
        <w:top w:val="none" w:sz="0" w:space="0" w:color="auto"/>
        <w:left w:val="none" w:sz="0" w:space="0" w:color="auto"/>
        <w:bottom w:val="none" w:sz="0" w:space="0" w:color="auto"/>
        <w:right w:val="none" w:sz="0" w:space="0" w:color="auto"/>
      </w:divBdr>
    </w:div>
    <w:div w:id="162597834">
      <w:bodyDiv w:val="1"/>
      <w:marLeft w:val="0"/>
      <w:marRight w:val="0"/>
      <w:marTop w:val="0"/>
      <w:marBottom w:val="0"/>
      <w:divBdr>
        <w:top w:val="none" w:sz="0" w:space="0" w:color="auto"/>
        <w:left w:val="none" w:sz="0" w:space="0" w:color="auto"/>
        <w:bottom w:val="none" w:sz="0" w:space="0" w:color="auto"/>
        <w:right w:val="none" w:sz="0" w:space="0" w:color="auto"/>
      </w:divBdr>
    </w:div>
    <w:div w:id="309789894">
      <w:bodyDiv w:val="1"/>
      <w:marLeft w:val="0"/>
      <w:marRight w:val="0"/>
      <w:marTop w:val="0"/>
      <w:marBottom w:val="0"/>
      <w:divBdr>
        <w:top w:val="none" w:sz="0" w:space="0" w:color="auto"/>
        <w:left w:val="none" w:sz="0" w:space="0" w:color="auto"/>
        <w:bottom w:val="none" w:sz="0" w:space="0" w:color="auto"/>
        <w:right w:val="none" w:sz="0" w:space="0" w:color="auto"/>
      </w:divBdr>
    </w:div>
    <w:div w:id="331763590">
      <w:bodyDiv w:val="1"/>
      <w:marLeft w:val="0"/>
      <w:marRight w:val="0"/>
      <w:marTop w:val="0"/>
      <w:marBottom w:val="0"/>
      <w:divBdr>
        <w:top w:val="none" w:sz="0" w:space="0" w:color="auto"/>
        <w:left w:val="none" w:sz="0" w:space="0" w:color="auto"/>
        <w:bottom w:val="none" w:sz="0" w:space="0" w:color="auto"/>
        <w:right w:val="none" w:sz="0" w:space="0" w:color="auto"/>
      </w:divBdr>
    </w:div>
    <w:div w:id="432625634">
      <w:bodyDiv w:val="1"/>
      <w:marLeft w:val="0"/>
      <w:marRight w:val="0"/>
      <w:marTop w:val="0"/>
      <w:marBottom w:val="0"/>
      <w:divBdr>
        <w:top w:val="none" w:sz="0" w:space="0" w:color="auto"/>
        <w:left w:val="none" w:sz="0" w:space="0" w:color="auto"/>
        <w:bottom w:val="none" w:sz="0" w:space="0" w:color="auto"/>
        <w:right w:val="none" w:sz="0" w:space="0" w:color="auto"/>
      </w:divBdr>
      <w:divsChild>
        <w:div w:id="981546167">
          <w:marLeft w:val="0"/>
          <w:marRight w:val="0"/>
          <w:marTop w:val="0"/>
          <w:marBottom w:val="0"/>
          <w:divBdr>
            <w:top w:val="none" w:sz="0" w:space="0" w:color="auto"/>
            <w:left w:val="none" w:sz="0" w:space="0" w:color="auto"/>
            <w:bottom w:val="none" w:sz="0" w:space="0" w:color="auto"/>
            <w:right w:val="none" w:sz="0" w:space="0" w:color="auto"/>
          </w:divBdr>
        </w:div>
        <w:div w:id="1630548019">
          <w:marLeft w:val="0"/>
          <w:marRight w:val="0"/>
          <w:marTop w:val="0"/>
          <w:marBottom w:val="0"/>
          <w:divBdr>
            <w:top w:val="none" w:sz="0" w:space="0" w:color="auto"/>
            <w:left w:val="none" w:sz="0" w:space="0" w:color="auto"/>
            <w:bottom w:val="none" w:sz="0" w:space="0" w:color="auto"/>
            <w:right w:val="none" w:sz="0" w:space="0" w:color="auto"/>
          </w:divBdr>
        </w:div>
      </w:divsChild>
    </w:div>
    <w:div w:id="449590959">
      <w:bodyDiv w:val="1"/>
      <w:marLeft w:val="0"/>
      <w:marRight w:val="0"/>
      <w:marTop w:val="0"/>
      <w:marBottom w:val="0"/>
      <w:divBdr>
        <w:top w:val="none" w:sz="0" w:space="0" w:color="auto"/>
        <w:left w:val="none" w:sz="0" w:space="0" w:color="auto"/>
        <w:bottom w:val="none" w:sz="0" w:space="0" w:color="auto"/>
        <w:right w:val="none" w:sz="0" w:space="0" w:color="auto"/>
      </w:divBdr>
    </w:div>
    <w:div w:id="453989512">
      <w:bodyDiv w:val="1"/>
      <w:marLeft w:val="0"/>
      <w:marRight w:val="0"/>
      <w:marTop w:val="0"/>
      <w:marBottom w:val="0"/>
      <w:divBdr>
        <w:top w:val="none" w:sz="0" w:space="0" w:color="auto"/>
        <w:left w:val="none" w:sz="0" w:space="0" w:color="auto"/>
        <w:bottom w:val="none" w:sz="0" w:space="0" w:color="auto"/>
        <w:right w:val="none" w:sz="0" w:space="0" w:color="auto"/>
      </w:divBdr>
      <w:divsChild>
        <w:div w:id="702900968">
          <w:marLeft w:val="0"/>
          <w:marRight w:val="0"/>
          <w:marTop w:val="0"/>
          <w:marBottom w:val="0"/>
          <w:divBdr>
            <w:top w:val="none" w:sz="0" w:space="0" w:color="auto"/>
            <w:left w:val="none" w:sz="0" w:space="0" w:color="auto"/>
            <w:bottom w:val="none" w:sz="0" w:space="0" w:color="auto"/>
            <w:right w:val="none" w:sz="0" w:space="0" w:color="auto"/>
          </w:divBdr>
        </w:div>
        <w:div w:id="1728839710">
          <w:marLeft w:val="0"/>
          <w:marRight w:val="0"/>
          <w:marTop w:val="0"/>
          <w:marBottom w:val="0"/>
          <w:divBdr>
            <w:top w:val="none" w:sz="0" w:space="0" w:color="auto"/>
            <w:left w:val="none" w:sz="0" w:space="0" w:color="auto"/>
            <w:bottom w:val="none" w:sz="0" w:space="0" w:color="auto"/>
            <w:right w:val="none" w:sz="0" w:space="0" w:color="auto"/>
          </w:divBdr>
        </w:div>
        <w:div w:id="2052264822">
          <w:marLeft w:val="0"/>
          <w:marRight w:val="0"/>
          <w:marTop w:val="0"/>
          <w:marBottom w:val="0"/>
          <w:divBdr>
            <w:top w:val="none" w:sz="0" w:space="0" w:color="auto"/>
            <w:left w:val="none" w:sz="0" w:space="0" w:color="auto"/>
            <w:bottom w:val="none" w:sz="0" w:space="0" w:color="auto"/>
            <w:right w:val="none" w:sz="0" w:space="0" w:color="auto"/>
          </w:divBdr>
        </w:div>
        <w:div w:id="630750620">
          <w:marLeft w:val="0"/>
          <w:marRight w:val="0"/>
          <w:marTop w:val="0"/>
          <w:marBottom w:val="0"/>
          <w:divBdr>
            <w:top w:val="none" w:sz="0" w:space="0" w:color="auto"/>
            <w:left w:val="none" w:sz="0" w:space="0" w:color="auto"/>
            <w:bottom w:val="none" w:sz="0" w:space="0" w:color="auto"/>
            <w:right w:val="none" w:sz="0" w:space="0" w:color="auto"/>
          </w:divBdr>
        </w:div>
        <w:div w:id="101188278">
          <w:marLeft w:val="0"/>
          <w:marRight w:val="0"/>
          <w:marTop w:val="0"/>
          <w:marBottom w:val="0"/>
          <w:divBdr>
            <w:top w:val="none" w:sz="0" w:space="0" w:color="auto"/>
            <w:left w:val="none" w:sz="0" w:space="0" w:color="auto"/>
            <w:bottom w:val="none" w:sz="0" w:space="0" w:color="auto"/>
            <w:right w:val="none" w:sz="0" w:space="0" w:color="auto"/>
          </w:divBdr>
        </w:div>
      </w:divsChild>
    </w:div>
    <w:div w:id="466318738">
      <w:bodyDiv w:val="1"/>
      <w:marLeft w:val="0"/>
      <w:marRight w:val="0"/>
      <w:marTop w:val="0"/>
      <w:marBottom w:val="0"/>
      <w:divBdr>
        <w:top w:val="none" w:sz="0" w:space="0" w:color="auto"/>
        <w:left w:val="none" w:sz="0" w:space="0" w:color="auto"/>
        <w:bottom w:val="none" w:sz="0" w:space="0" w:color="auto"/>
        <w:right w:val="none" w:sz="0" w:space="0" w:color="auto"/>
      </w:divBdr>
      <w:divsChild>
        <w:div w:id="196092308">
          <w:marLeft w:val="0"/>
          <w:marRight w:val="0"/>
          <w:marTop w:val="0"/>
          <w:marBottom w:val="0"/>
          <w:divBdr>
            <w:top w:val="none" w:sz="0" w:space="0" w:color="auto"/>
            <w:left w:val="none" w:sz="0" w:space="0" w:color="auto"/>
            <w:bottom w:val="none" w:sz="0" w:space="0" w:color="auto"/>
            <w:right w:val="none" w:sz="0" w:space="0" w:color="auto"/>
          </w:divBdr>
        </w:div>
        <w:div w:id="856890437">
          <w:marLeft w:val="0"/>
          <w:marRight w:val="0"/>
          <w:marTop w:val="0"/>
          <w:marBottom w:val="0"/>
          <w:divBdr>
            <w:top w:val="none" w:sz="0" w:space="0" w:color="auto"/>
            <w:left w:val="none" w:sz="0" w:space="0" w:color="auto"/>
            <w:bottom w:val="none" w:sz="0" w:space="0" w:color="auto"/>
            <w:right w:val="none" w:sz="0" w:space="0" w:color="auto"/>
          </w:divBdr>
        </w:div>
      </w:divsChild>
    </w:div>
    <w:div w:id="466973446">
      <w:bodyDiv w:val="1"/>
      <w:marLeft w:val="0"/>
      <w:marRight w:val="0"/>
      <w:marTop w:val="0"/>
      <w:marBottom w:val="0"/>
      <w:divBdr>
        <w:top w:val="none" w:sz="0" w:space="0" w:color="auto"/>
        <w:left w:val="none" w:sz="0" w:space="0" w:color="auto"/>
        <w:bottom w:val="none" w:sz="0" w:space="0" w:color="auto"/>
        <w:right w:val="none" w:sz="0" w:space="0" w:color="auto"/>
      </w:divBdr>
    </w:div>
    <w:div w:id="486288229">
      <w:bodyDiv w:val="1"/>
      <w:marLeft w:val="0"/>
      <w:marRight w:val="0"/>
      <w:marTop w:val="0"/>
      <w:marBottom w:val="0"/>
      <w:divBdr>
        <w:top w:val="none" w:sz="0" w:space="0" w:color="auto"/>
        <w:left w:val="none" w:sz="0" w:space="0" w:color="auto"/>
        <w:bottom w:val="none" w:sz="0" w:space="0" w:color="auto"/>
        <w:right w:val="none" w:sz="0" w:space="0" w:color="auto"/>
      </w:divBdr>
    </w:div>
    <w:div w:id="491990919">
      <w:bodyDiv w:val="1"/>
      <w:marLeft w:val="0"/>
      <w:marRight w:val="0"/>
      <w:marTop w:val="0"/>
      <w:marBottom w:val="0"/>
      <w:divBdr>
        <w:top w:val="none" w:sz="0" w:space="0" w:color="auto"/>
        <w:left w:val="none" w:sz="0" w:space="0" w:color="auto"/>
        <w:bottom w:val="none" w:sz="0" w:space="0" w:color="auto"/>
        <w:right w:val="none" w:sz="0" w:space="0" w:color="auto"/>
      </w:divBdr>
    </w:div>
    <w:div w:id="552548154">
      <w:bodyDiv w:val="1"/>
      <w:marLeft w:val="0"/>
      <w:marRight w:val="0"/>
      <w:marTop w:val="0"/>
      <w:marBottom w:val="0"/>
      <w:divBdr>
        <w:top w:val="none" w:sz="0" w:space="0" w:color="auto"/>
        <w:left w:val="none" w:sz="0" w:space="0" w:color="auto"/>
        <w:bottom w:val="none" w:sz="0" w:space="0" w:color="auto"/>
        <w:right w:val="none" w:sz="0" w:space="0" w:color="auto"/>
      </w:divBdr>
    </w:div>
    <w:div w:id="609898335">
      <w:bodyDiv w:val="1"/>
      <w:marLeft w:val="0"/>
      <w:marRight w:val="0"/>
      <w:marTop w:val="0"/>
      <w:marBottom w:val="0"/>
      <w:divBdr>
        <w:top w:val="none" w:sz="0" w:space="0" w:color="auto"/>
        <w:left w:val="none" w:sz="0" w:space="0" w:color="auto"/>
        <w:bottom w:val="none" w:sz="0" w:space="0" w:color="auto"/>
        <w:right w:val="none" w:sz="0" w:space="0" w:color="auto"/>
      </w:divBdr>
      <w:divsChild>
        <w:div w:id="2072657664">
          <w:marLeft w:val="0"/>
          <w:marRight w:val="0"/>
          <w:marTop w:val="0"/>
          <w:marBottom w:val="0"/>
          <w:divBdr>
            <w:top w:val="none" w:sz="0" w:space="0" w:color="auto"/>
            <w:left w:val="none" w:sz="0" w:space="0" w:color="auto"/>
            <w:bottom w:val="none" w:sz="0" w:space="0" w:color="auto"/>
            <w:right w:val="none" w:sz="0" w:space="0" w:color="auto"/>
          </w:divBdr>
        </w:div>
        <w:div w:id="161316860">
          <w:marLeft w:val="0"/>
          <w:marRight w:val="0"/>
          <w:marTop w:val="0"/>
          <w:marBottom w:val="0"/>
          <w:divBdr>
            <w:top w:val="none" w:sz="0" w:space="0" w:color="auto"/>
            <w:left w:val="none" w:sz="0" w:space="0" w:color="auto"/>
            <w:bottom w:val="none" w:sz="0" w:space="0" w:color="auto"/>
            <w:right w:val="none" w:sz="0" w:space="0" w:color="auto"/>
          </w:divBdr>
        </w:div>
        <w:div w:id="378480054">
          <w:marLeft w:val="0"/>
          <w:marRight w:val="0"/>
          <w:marTop w:val="0"/>
          <w:marBottom w:val="0"/>
          <w:divBdr>
            <w:top w:val="none" w:sz="0" w:space="0" w:color="auto"/>
            <w:left w:val="none" w:sz="0" w:space="0" w:color="auto"/>
            <w:bottom w:val="none" w:sz="0" w:space="0" w:color="auto"/>
            <w:right w:val="none" w:sz="0" w:space="0" w:color="auto"/>
          </w:divBdr>
        </w:div>
        <w:div w:id="1565489050">
          <w:marLeft w:val="0"/>
          <w:marRight w:val="0"/>
          <w:marTop w:val="0"/>
          <w:marBottom w:val="0"/>
          <w:divBdr>
            <w:top w:val="none" w:sz="0" w:space="0" w:color="auto"/>
            <w:left w:val="none" w:sz="0" w:space="0" w:color="auto"/>
            <w:bottom w:val="none" w:sz="0" w:space="0" w:color="auto"/>
            <w:right w:val="none" w:sz="0" w:space="0" w:color="auto"/>
          </w:divBdr>
        </w:div>
        <w:div w:id="1914317681">
          <w:marLeft w:val="0"/>
          <w:marRight w:val="0"/>
          <w:marTop w:val="0"/>
          <w:marBottom w:val="0"/>
          <w:divBdr>
            <w:top w:val="none" w:sz="0" w:space="0" w:color="auto"/>
            <w:left w:val="none" w:sz="0" w:space="0" w:color="auto"/>
            <w:bottom w:val="none" w:sz="0" w:space="0" w:color="auto"/>
            <w:right w:val="none" w:sz="0" w:space="0" w:color="auto"/>
          </w:divBdr>
        </w:div>
      </w:divsChild>
    </w:div>
    <w:div w:id="652366561">
      <w:bodyDiv w:val="1"/>
      <w:marLeft w:val="0"/>
      <w:marRight w:val="0"/>
      <w:marTop w:val="0"/>
      <w:marBottom w:val="0"/>
      <w:divBdr>
        <w:top w:val="none" w:sz="0" w:space="0" w:color="auto"/>
        <w:left w:val="none" w:sz="0" w:space="0" w:color="auto"/>
        <w:bottom w:val="none" w:sz="0" w:space="0" w:color="auto"/>
        <w:right w:val="none" w:sz="0" w:space="0" w:color="auto"/>
      </w:divBdr>
    </w:div>
    <w:div w:id="692146809">
      <w:bodyDiv w:val="1"/>
      <w:marLeft w:val="0"/>
      <w:marRight w:val="0"/>
      <w:marTop w:val="0"/>
      <w:marBottom w:val="0"/>
      <w:divBdr>
        <w:top w:val="none" w:sz="0" w:space="0" w:color="auto"/>
        <w:left w:val="none" w:sz="0" w:space="0" w:color="auto"/>
        <w:bottom w:val="none" w:sz="0" w:space="0" w:color="auto"/>
        <w:right w:val="none" w:sz="0" w:space="0" w:color="auto"/>
      </w:divBdr>
    </w:div>
    <w:div w:id="721056297">
      <w:bodyDiv w:val="1"/>
      <w:marLeft w:val="0"/>
      <w:marRight w:val="0"/>
      <w:marTop w:val="0"/>
      <w:marBottom w:val="0"/>
      <w:divBdr>
        <w:top w:val="none" w:sz="0" w:space="0" w:color="auto"/>
        <w:left w:val="none" w:sz="0" w:space="0" w:color="auto"/>
        <w:bottom w:val="none" w:sz="0" w:space="0" w:color="auto"/>
        <w:right w:val="none" w:sz="0" w:space="0" w:color="auto"/>
      </w:divBdr>
    </w:div>
    <w:div w:id="745422331">
      <w:bodyDiv w:val="1"/>
      <w:marLeft w:val="0"/>
      <w:marRight w:val="0"/>
      <w:marTop w:val="0"/>
      <w:marBottom w:val="0"/>
      <w:divBdr>
        <w:top w:val="none" w:sz="0" w:space="0" w:color="auto"/>
        <w:left w:val="none" w:sz="0" w:space="0" w:color="auto"/>
        <w:bottom w:val="none" w:sz="0" w:space="0" w:color="auto"/>
        <w:right w:val="none" w:sz="0" w:space="0" w:color="auto"/>
      </w:divBdr>
    </w:div>
    <w:div w:id="801196203">
      <w:bodyDiv w:val="1"/>
      <w:marLeft w:val="0"/>
      <w:marRight w:val="0"/>
      <w:marTop w:val="0"/>
      <w:marBottom w:val="0"/>
      <w:divBdr>
        <w:top w:val="none" w:sz="0" w:space="0" w:color="auto"/>
        <w:left w:val="none" w:sz="0" w:space="0" w:color="auto"/>
        <w:bottom w:val="none" w:sz="0" w:space="0" w:color="auto"/>
        <w:right w:val="none" w:sz="0" w:space="0" w:color="auto"/>
      </w:divBdr>
    </w:div>
    <w:div w:id="802579031">
      <w:bodyDiv w:val="1"/>
      <w:marLeft w:val="0"/>
      <w:marRight w:val="0"/>
      <w:marTop w:val="0"/>
      <w:marBottom w:val="0"/>
      <w:divBdr>
        <w:top w:val="none" w:sz="0" w:space="0" w:color="auto"/>
        <w:left w:val="none" w:sz="0" w:space="0" w:color="auto"/>
        <w:bottom w:val="none" w:sz="0" w:space="0" w:color="auto"/>
        <w:right w:val="none" w:sz="0" w:space="0" w:color="auto"/>
      </w:divBdr>
      <w:divsChild>
        <w:div w:id="110368447">
          <w:marLeft w:val="0"/>
          <w:marRight w:val="0"/>
          <w:marTop w:val="0"/>
          <w:marBottom w:val="0"/>
          <w:divBdr>
            <w:top w:val="none" w:sz="0" w:space="0" w:color="auto"/>
            <w:left w:val="none" w:sz="0" w:space="0" w:color="auto"/>
            <w:bottom w:val="none" w:sz="0" w:space="0" w:color="auto"/>
            <w:right w:val="none" w:sz="0" w:space="0" w:color="auto"/>
          </w:divBdr>
        </w:div>
        <w:div w:id="1015302066">
          <w:marLeft w:val="0"/>
          <w:marRight w:val="0"/>
          <w:marTop w:val="0"/>
          <w:marBottom w:val="0"/>
          <w:divBdr>
            <w:top w:val="none" w:sz="0" w:space="0" w:color="auto"/>
            <w:left w:val="none" w:sz="0" w:space="0" w:color="auto"/>
            <w:bottom w:val="none" w:sz="0" w:space="0" w:color="auto"/>
            <w:right w:val="none" w:sz="0" w:space="0" w:color="auto"/>
          </w:divBdr>
        </w:div>
        <w:div w:id="113135833">
          <w:marLeft w:val="0"/>
          <w:marRight w:val="0"/>
          <w:marTop w:val="0"/>
          <w:marBottom w:val="0"/>
          <w:divBdr>
            <w:top w:val="none" w:sz="0" w:space="0" w:color="auto"/>
            <w:left w:val="none" w:sz="0" w:space="0" w:color="auto"/>
            <w:bottom w:val="none" w:sz="0" w:space="0" w:color="auto"/>
            <w:right w:val="none" w:sz="0" w:space="0" w:color="auto"/>
          </w:divBdr>
        </w:div>
      </w:divsChild>
    </w:div>
    <w:div w:id="819270742">
      <w:bodyDiv w:val="1"/>
      <w:marLeft w:val="0"/>
      <w:marRight w:val="0"/>
      <w:marTop w:val="0"/>
      <w:marBottom w:val="0"/>
      <w:divBdr>
        <w:top w:val="none" w:sz="0" w:space="0" w:color="auto"/>
        <w:left w:val="none" w:sz="0" w:space="0" w:color="auto"/>
        <w:bottom w:val="none" w:sz="0" w:space="0" w:color="auto"/>
        <w:right w:val="none" w:sz="0" w:space="0" w:color="auto"/>
      </w:divBdr>
      <w:divsChild>
        <w:div w:id="1305041135">
          <w:marLeft w:val="0"/>
          <w:marRight w:val="0"/>
          <w:marTop w:val="0"/>
          <w:marBottom w:val="0"/>
          <w:divBdr>
            <w:top w:val="none" w:sz="0" w:space="0" w:color="auto"/>
            <w:left w:val="none" w:sz="0" w:space="0" w:color="auto"/>
            <w:bottom w:val="none" w:sz="0" w:space="0" w:color="auto"/>
            <w:right w:val="none" w:sz="0" w:space="0" w:color="auto"/>
          </w:divBdr>
        </w:div>
        <w:div w:id="1766489532">
          <w:marLeft w:val="0"/>
          <w:marRight w:val="0"/>
          <w:marTop w:val="0"/>
          <w:marBottom w:val="0"/>
          <w:divBdr>
            <w:top w:val="none" w:sz="0" w:space="0" w:color="auto"/>
            <w:left w:val="none" w:sz="0" w:space="0" w:color="auto"/>
            <w:bottom w:val="none" w:sz="0" w:space="0" w:color="auto"/>
            <w:right w:val="none" w:sz="0" w:space="0" w:color="auto"/>
          </w:divBdr>
        </w:div>
      </w:divsChild>
    </w:div>
    <w:div w:id="856583771">
      <w:bodyDiv w:val="1"/>
      <w:marLeft w:val="0"/>
      <w:marRight w:val="0"/>
      <w:marTop w:val="0"/>
      <w:marBottom w:val="0"/>
      <w:divBdr>
        <w:top w:val="none" w:sz="0" w:space="0" w:color="auto"/>
        <w:left w:val="none" w:sz="0" w:space="0" w:color="auto"/>
        <w:bottom w:val="none" w:sz="0" w:space="0" w:color="auto"/>
        <w:right w:val="none" w:sz="0" w:space="0" w:color="auto"/>
      </w:divBdr>
    </w:div>
    <w:div w:id="872309733">
      <w:bodyDiv w:val="1"/>
      <w:marLeft w:val="0"/>
      <w:marRight w:val="0"/>
      <w:marTop w:val="0"/>
      <w:marBottom w:val="0"/>
      <w:divBdr>
        <w:top w:val="none" w:sz="0" w:space="0" w:color="auto"/>
        <w:left w:val="none" w:sz="0" w:space="0" w:color="auto"/>
        <w:bottom w:val="none" w:sz="0" w:space="0" w:color="auto"/>
        <w:right w:val="none" w:sz="0" w:space="0" w:color="auto"/>
      </w:divBdr>
      <w:divsChild>
        <w:div w:id="657853223">
          <w:marLeft w:val="0"/>
          <w:marRight w:val="0"/>
          <w:marTop w:val="0"/>
          <w:marBottom w:val="0"/>
          <w:divBdr>
            <w:top w:val="none" w:sz="0" w:space="0" w:color="auto"/>
            <w:left w:val="none" w:sz="0" w:space="0" w:color="auto"/>
            <w:bottom w:val="none" w:sz="0" w:space="0" w:color="auto"/>
            <w:right w:val="none" w:sz="0" w:space="0" w:color="auto"/>
          </w:divBdr>
        </w:div>
        <w:div w:id="1347904888">
          <w:marLeft w:val="0"/>
          <w:marRight w:val="0"/>
          <w:marTop w:val="0"/>
          <w:marBottom w:val="0"/>
          <w:divBdr>
            <w:top w:val="none" w:sz="0" w:space="0" w:color="auto"/>
            <w:left w:val="none" w:sz="0" w:space="0" w:color="auto"/>
            <w:bottom w:val="none" w:sz="0" w:space="0" w:color="auto"/>
            <w:right w:val="none" w:sz="0" w:space="0" w:color="auto"/>
          </w:divBdr>
        </w:div>
        <w:div w:id="1667904974">
          <w:marLeft w:val="0"/>
          <w:marRight w:val="0"/>
          <w:marTop w:val="0"/>
          <w:marBottom w:val="0"/>
          <w:divBdr>
            <w:top w:val="none" w:sz="0" w:space="0" w:color="auto"/>
            <w:left w:val="none" w:sz="0" w:space="0" w:color="auto"/>
            <w:bottom w:val="none" w:sz="0" w:space="0" w:color="auto"/>
            <w:right w:val="none" w:sz="0" w:space="0" w:color="auto"/>
          </w:divBdr>
        </w:div>
        <w:div w:id="1037243596">
          <w:marLeft w:val="0"/>
          <w:marRight w:val="0"/>
          <w:marTop w:val="0"/>
          <w:marBottom w:val="0"/>
          <w:divBdr>
            <w:top w:val="none" w:sz="0" w:space="0" w:color="auto"/>
            <w:left w:val="none" w:sz="0" w:space="0" w:color="auto"/>
            <w:bottom w:val="none" w:sz="0" w:space="0" w:color="auto"/>
            <w:right w:val="none" w:sz="0" w:space="0" w:color="auto"/>
          </w:divBdr>
        </w:div>
        <w:div w:id="1680111365">
          <w:marLeft w:val="0"/>
          <w:marRight w:val="0"/>
          <w:marTop w:val="0"/>
          <w:marBottom w:val="0"/>
          <w:divBdr>
            <w:top w:val="none" w:sz="0" w:space="0" w:color="auto"/>
            <w:left w:val="none" w:sz="0" w:space="0" w:color="auto"/>
            <w:bottom w:val="none" w:sz="0" w:space="0" w:color="auto"/>
            <w:right w:val="none" w:sz="0" w:space="0" w:color="auto"/>
          </w:divBdr>
        </w:div>
      </w:divsChild>
    </w:div>
    <w:div w:id="883063486">
      <w:bodyDiv w:val="1"/>
      <w:marLeft w:val="0"/>
      <w:marRight w:val="0"/>
      <w:marTop w:val="0"/>
      <w:marBottom w:val="0"/>
      <w:divBdr>
        <w:top w:val="none" w:sz="0" w:space="0" w:color="auto"/>
        <w:left w:val="none" w:sz="0" w:space="0" w:color="auto"/>
        <w:bottom w:val="none" w:sz="0" w:space="0" w:color="auto"/>
        <w:right w:val="none" w:sz="0" w:space="0" w:color="auto"/>
      </w:divBdr>
    </w:div>
    <w:div w:id="927663268">
      <w:bodyDiv w:val="1"/>
      <w:marLeft w:val="0"/>
      <w:marRight w:val="0"/>
      <w:marTop w:val="0"/>
      <w:marBottom w:val="0"/>
      <w:divBdr>
        <w:top w:val="none" w:sz="0" w:space="0" w:color="auto"/>
        <w:left w:val="none" w:sz="0" w:space="0" w:color="auto"/>
        <w:bottom w:val="none" w:sz="0" w:space="0" w:color="auto"/>
        <w:right w:val="none" w:sz="0" w:space="0" w:color="auto"/>
      </w:divBdr>
    </w:div>
    <w:div w:id="938414795">
      <w:bodyDiv w:val="1"/>
      <w:marLeft w:val="0"/>
      <w:marRight w:val="0"/>
      <w:marTop w:val="0"/>
      <w:marBottom w:val="0"/>
      <w:divBdr>
        <w:top w:val="none" w:sz="0" w:space="0" w:color="auto"/>
        <w:left w:val="none" w:sz="0" w:space="0" w:color="auto"/>
        <w:bottom w:val="none" w:sz="0" w:space="0" w:color="auto"/>
        <w:right w:val="none" w:sz="0" w:space="0" w:color="auto"/>
      </w:divBdr>
      <w:divsChild>
        <w:div w:id="1413040170">
          <w:marLeft w:val="0"/>
          <w:marRight w:val="0"/>
          <w:marTop w:val="0"/>
          <w:marBottom w:val="0"/>
          <w:divBdr>
            <w:top w:val="none" w:sz="0" w:space="0" w:color="auto"/>
            <w:left w:val="none" w:sz="0" w:space="0" w:color="auto"/>
            <w:bottom w:val="none" w:sz="0" w:space="0" w:color="auto"/>
            <w:right w:val="none" w:sz="0" w:space="0" w:color="auto"/>
          </w:divBdr>
        </w:div>
        <w:div w:id="307367154">
          <w:marLeft w:val="0"/>
          <w:marRight w:val="0"/>
          <w:marTop w:val="0"/>
          <w:marBottom w:val="0"/>
          <w:divBdr>
            <w:top w:val="none" w:sz="0" w:space="0" w:color="auto"/>
            <w:left w:val="none" w:sz="0" w:space="0" w:color="auto"/>
            <w:bottom w:val="none" w:sz="0" w:space="0" w:color="auto"/>
            <w:right w:val="none" w:sz="0" w:space="0" w:color="auto"/>
          </w:divBdr>
        </w:div>
        <w:div w:id="851649463">
          <w:marLeft w:val="0"/>
          <w:marRight w:val="0"/>
          <w:marTop w:val="0"/>
          <w:marBottom w:val="0"/>
          <w:divBdr>
            <w:top w:val="none" w:sz="0" w:space="0" w:color="auto"/>
            <w:left w:val="none" w:sz="0" w:space="0" w:color="auto"/>
            <w:bottom w:val="none" w:sz="0" w:space="0" w:color="auto"/>
            <w:right w:val="none" w:sz="0" w:space="0" w:color="auto"/>
          </w:divBdr>
        </w:div>
        <w:div w:id="647709948">
          <w:marLeft w:val="0"/>
          <w:marRight w:val="0"/>
          <w:marTop w:val="0"/>
          <w:marBottom w:val="0"/>
          <w:divBdr>
            <w:top w:val="none" w:sz="0" w:space="0" w:color="auto"/>
            <w:left w:val="none" w:sz="0" w:space="0" w:color="auto"/>
            <w:bottom w:val="none" w:sz="0" w:space="0" w:color="auto"/>
            <w:right w:val="none" w:sz="0" w:space="0" w:color="auto"/>
          </w:divBdr>
        </w:div>
        <w:div w:id="599223685">
          <w:marLeft w:val="0"/>
          <w:marRight w:val="0"/>
          <w:marTop w:val="0"/>
          <w:marBottom w:val="0"/>
          <w:divBdr>
            <w:top w:val="none" w:sz="0" w:space="0" w:color="auto"/>
            <w:left w:val="none" w:sz="0" w:space="0" w:color="auto"/>
            <w:bottom w:val="none" w:sz="0" w:space="0" w:color="auto"/>
            <w:right w:val="none" w:sz="0" w:space="0" w:color="auto"/>
          </w:divBdr>
        </w:div>
      </w:divsChild>
    </w:div>
    <w:div w:id="972323590">
      <w:bodyDiv w:val="1"/>
      <w:marLeft w:val="0"/>
      <w:marRight w:val="0"/>
      <w:marTop w:val="0"/>
      <w:marBottom w:val="0"/>
      <w:divBdr>
        <w:top w:val="none" w:sz="0" w:space="0" w:color="auto"/>
        <w:left w:val="none" w:sz="0" w:space="0" w:color="auto"/>
        <w:bottom w:val="none" w:sz="0" w:space="0" w:color="auto"/>
        <w:right w:val="none" w:sz="0" w:space="0" w:color="auto"/>
      </w:divBdr>
    </w:div>
    <w:div w:id="987367107">
      <w:bodyDiv w:val="1"/>
      <w:marLeft w:val="0"/>
      <w:marRight w:val="0"/>
      <w:marTop w:val="0"/>
      <w:marBottom w:val="0"/>
      <w:divBdr>
        <w:top w:val="none" w:sz="0" w:space="0" w:color="auto"/>
        <w:left w:val="none" w:sz="0" w:space="0" w:color="auto"/>
        <w:bottom w:val="none" w:sz="0" w:space="0" w:color="auto"/>
        <w:right w:val="none" w:sz="0" w:space="0" w:color="auto"/>
      </w:divBdr>
    </w:div>
    <w:div w:id="1051265537">
      <w:bodyDiv w:val="1"/>
      <w:marLeft w:val="0"/>
      <w:marRight w:val="0"/>
      <w:marTop w:val="0"/>
      <w:marBottom w:val="0"/>
      <w:divBdr>
        <w:top w:val="none" w:sz="0" w:space="0" w:color="auto"/>
        <w:left w:val="none" w:sz="0" w:space="0" w:color="auto"/>
        <w:bottom w:val="none" w:sz="0" w:space="0" w:color="auto"/>
        <w:right w:val="none" w:sz="0" w:space="0" w:color="auto"/>
      </w:divBdr>
      <w:divsChild>
        <w:div w:id="966201508">
          <w:marLeft w:val="0"/>
          <w:marRight w:val="0"/>
          <w:marTop w:val="0"/>
          <w:marBottom w:val="0"/>
          <w:divBdr>
            <w:top w:val="none" w:sz="0" w:space="0" w:color="auto"/>
            <w:left w:val="none" w:sz="0" w:space="0" w:color="auto"/>
            <w:bottom w:val="none" w:sz="0" w:space="0" w:color="auto"/>
            <w:right w:val="none" w:sz="0" w:space="0" w:color="auto"/>
          </w:divBdr>
        </w:div>
        <w:div w:id="1832869831">
          <w:marLeft w:val="0"/>
          <w:marRight w:val="0"/>
          <w:marTop w:val="0"/>
          <w:marBottom w:val="0"/>
          <w:divBdr>
            <w:top w:val="none" w:sz="0" w:space="0" w:color="auto"/>
            <w:left w:val="none" w:sz="0" w:space="0" w:color="auto"/>
            <w:bottom w:val="none" w:sz="0" w:space="0" w:color="auto"/>
            <w:right w:val="none" w:sz="0" w:space="0" w:color="auto"/>
          </w:divBdr>
        </w:div>
        <w:div w:id="1817062868">
          <w:marLeft w:val="0"/>
          <w:marRight w:val="0"/>
          <w:marTop w:val="0"/>
          <w:marBottom w:val="0"/>
          <w:divBdr>
            <w:top w:val="none" w:sz="0" w:space="0" w:color="auto"/>
            <w:left w:val="none" w:sz="0" w:space="0" w:color="auto"/>
            <w:bottom w:val="none" w:sz="0" w:space="0" w:color="auto"/>
            <w:right w:val="none" w:sz="0" w:space="0" w:color="auto"/>
          </w:divBdr>
        </w:div>
        <w:div w:id="675882428">
          <w:marLeft w:val="0"/>
          <w:marRight w:val="0"/>
          <w:marTop w:val="0"/>
          <w:marBottom w:val="0"/>
          <w:divBdr>
            <w:top w:val="none" w:sz="0" w:space="0" w:color="auto"/>
            <w:left w:val="none" w:sz="0" w:space="0" w:color="auto"/>
            <w:bottom w:val="none" w:sz="0" w:space="0" w:color="auto"/>
            <w:right w:val="none" w:sz="0" w:space="0" w:color="auto"/>
          </w:divBdr>
        </w:div>
        <w:div w:id="1055734469">
          <w:marLeft w:val="0"/>
          <w:marRight w:val="0"/>
          <w:marTop w:val="0"/>
          <w:marBottom w:val="0"/>
          <w:divBdr>
            <w:top w:val="none" w:sz="0" w:space="0" w:color="auto"/>
            <w:left w:val="none" w:sz="0" w:space="0" w:color="auto"/>
            <w:bottom w:val="none" w:sz="0" w:space="0" w:color="auto"/>
            <w:right w:val="none" w:sz="0" w:space="0" w:color="auto"/>
          </w:divBdr>
        </w:div>
      </w:divsChild>
    </w:div>
    <w:div w:id="1090272804">
      <w:bodyDiv w:val="1"/>
      <w:marLeft w:val="0"/>
      <w:marRight w:val="0"/>
      <w:marTop w:val="0"/>
      <w:marBottom w:val="0"/>
      <w:divBdr>
        <w:top w:val="none" w:sz="0" w:space="0" w:color="auto"/>
        <w:left w:val="none" w:sz="0" w:space="0" w:color="auto"/>
        <w:bottom w:val="none" w:sz="0" w:space="0" w:color="auto"/>
        <w:right w:val="none" w:sz="0" w:space="0" w:color="auto"/>
      </w:divBdr>
    </w:div>
    <w:div w:id="1101954804">
      <w:bodyDiv w:val="1"/>
      <w:marLeft w:val="0"/>
      <w:marRight w:val="0"/>
      <w:marTop w:val="0"/>
      <w:marBottom w:val="0"/>
      <w:divBdr>
        <w:top w:val="none" w:sz="0" w:space="0" w:color="auto"/>
        <w:left w:val="none" w:sz="0" w:space="0" w:color="auto"/>
        <w:bottom w:val="none" w:sz="0" w:space="0" w:color="auto"/>
        <w:right w:val="none" w:sz="0" w:space="0" w:color="auto"/>
      </w:divBdr>
    </w:div>
    <w:div w:id="1164708075">
      <w:bodyDiv w:val="1"/>
      <w:marLeft w:val="0"/>
      <w:marRight w:val="0"/>
      <w:marTop w:val="0"/>
      <w:marBottom w:val="0"/>
      <w:divBdr>
        <w:top w:val="none" w:sz="0" w:space="0" w:color="auto"/>
        <w:left w:val="none" w:sz="0" w:space="0" w:color="auto"/>
        <w:bottom w:val="none" w:sz="0" w:space="0" w:color="auto"/>
        <w:right w:val="none" w:sz="0" w:space="0" w:color="auto"/>
      </w:divBdr>
    </w:div>
    <w:div w:id="1207916184">
      <w:bodyDiv w:val="1"/>
      <w:marLeft w:val="0"/>
      <w:marRight w:val="0"/>
      <w:marTop w:val="0"/>
      <w:marBottom w:val="0"/>
      <w:divBdr>
        <w:top w:val="none" w:sz="0" w:space="0" w:color="auto"/>
        <w:left w:val="none" w:sz="0" w:space="0" w:color="auto"/>
        <w:bottom w:val="none" w:sz="0" w:space="0" w:color="auto"/>
        <w:right w:val="none" w:sz="0" w:space="0" w:color="auto"/>
      </w:divBdr>
      <w:divsChild>
        <w:div w:id="2106263709">
          <w:marLeft w:val="0"/>
          <w:marRight w:val="0"/>
          <w:marTop w:val="0"/>
          <w:marBottom w:val="0"/>
          <w:divBdr>
            <w:top w:val="none" w:sz="0" w:space="0" w:color="auto"/>
            <w:left w:val="none" w:sz="0" w:space="0" w:color="auto"/>
            <w:bottom w:val="none" w:sz="0" w:space="0" w:color="auto"/>
            <w:right w:val="none" w:sz="0" w:space="0" w:color="auto"/>
          </w:divBdr>
        </w:div>
        <w:div w:id="2049916507">
          <w:marLeft w:val="0"/>
          <w:marRight w:val="0"/>
          <w:marTop w:val="0"/>
          <w:marBottom w:val="0"/>
          <w:divBdr>
            <w:top w:val="none" w:sz="0" w:space="0" w:color="auto"/>
            <w:left w:val="none" w:sz="0" w:space="0" w:color="auto"/>
            <w:bottom w:val="none" w:sz="0" w:space="0" w:color="auto"/>
            <w:right w:val="none" w:sz="0" w:space="0" w:color="auto"/>
          </w:divBdr>
        </w:div>
        <w:div w:id="1129855271">
          <w:marLeft w:val="0"/>
          <w:marRight w:val="0"/>
          <w:marTop w:val="0"/>
          <w:marBottom w:val="0"/>
          <w:divBdr>
            <w:top w:val="none" w:sz="0" w:space="0" w:color="auto"/>
            <w:left w:val="none" w:sz="0" w:space="0" w:color="auto"/>
            <w:bottom w:val="none" w:sz="0" w:space="0" w:color="auto"/>
            <w:right w:val="none" w:sz="0" w:space="0" w:color="auto"/>
          </w:divBdr>
        </w:div>
        <w:div w:id="911040557">
          <w:marLeft w:val="0"/>
          <w:marRight w:val="0"/>
          <w:marTop w:val="0"/>
          <w:marBottom w:val="0"/>
          <w:divBdr>
            <w:top w:val="none" w:sz="0" w:space="0" w:color="auto"/>
            <w:left w:val="none" w:sz="0" w:space="0" w:color="auto"/>
            <w:bottom w:val="none" w:sz="0" w:space="0" w:color="auto"/>
            <w:right w:val="none" w:sz="0" w:space="0" w:color="auto"/>
          </w:divBdr>
        </w:div>
        <w:div w:id="1180581360">
          <w:marLeft w:val="0"/>
          <w:marRight w:val="0"/>
          <w:marTop w:val="0"/>
          <w:marBottom w:val="0"/>
          <w:divBdr>
            <w:top w:val="none" w:sz="0" w:space="0" w:color="auto"/>
            <w:left w:val="none" w:sz="0" w:space="0" w:color="auto"/>
            <w:bottom w:val="none" w:sz="0" w:space="0" w:color="auto"/>
            <w:right w:val="none" w:sz="0" w:space="0" w:color="auto"/>
          </w:divBdr>
        </w:div>
        <w:div w:id="945885140">
          <w:marLeft w:val="0"/>
          <w:marRight w:val="0"/>
          <w:marTop w:val="0"/>
          <w:marBottom w:val="0"/>
          <w:divBdr>
            <w:top w:val="none" w:sz="0" w:space="0" w:color="auto"/>
            <w:left w:val="none" w:sz="0" w:space="0" w:color="auto"/>
            <w:bottom w:val="none" w:sz="0" w:space="0" w:color="auto"/>
            <w:right w:val="none" w:sz="0" w:space="0" w:color="auto"/>
          </w:divBdr>
        </w:div>
        <w:div w:id="1337221811">
          <w:marLeft w:val="0"/>
          <w:marRight w:val="0"/>
          <w:marTop w:val="0"/>
          <w:marBottom w:val="0"/>
          <w:divBdr>
            <w:top w:val="none" w:sz="0" w:space="0" w:color="auto"/>
            <w:left w:val="none" w:sz="0" w:space="0" w:color="auto"/>
            <w:bottom w:val="none" w:sz="0" w:space="0" w:color="auto"/>
            <w:right w:val="none" w:sz="0" w:space="0" w:color="auto"/>
          </w:divBdr>
        </w:div>
        <w:div w:id="115223622">
          <w:marLeft w:val="0"/>
          <w:marRight w:val="0"/>
          <w:marTop w:val="0"/>
          <w:marBottom w:val="0"/>
          <w:divBdr>
            <w:top w:val="none" w:sz="0" w:space="0" w:color="auto"/>
            <w:left w:val="none" w:sz="0" w:space="0" w:color="auto"/>
            <w:bottom w:val="none" w:sz="0" w:space="0" w:color="auto"/>
            <w:right w:val="none" w:sz="0" w:space="0" w:color="auto"/>
          </w:divBdr>
        </w:div>
        <w:div w:id="51319876">
          <w:marLeft w:val="0"/>
          <w:marRight w:val="0"/>
          <w:marTop w:val="0"/>
          <w:marBottom w:val="0"/>
          <w:divBdr>
            <w:top w:val="none" w:sz="0" w:space="0" w:color="auto"/>
            <w:left w:val="none" w:sz="0" w:space="0" w:color="auto"/>
            <w:bottom w:val="none" w:sz="0" w:space="0" w:color="auto"/>
            <w:right w:val="none" w:sz="0" w:space="0" w:color="auto"/>
          </w:divBdr>
        </w:div>
        <w:div w:id="256450846">
          <w:marLeft w:val="0"/>
          <w:marRight w:val="0"/>
          <w:marTop w:val="0"/>
          <w:marBottom w:val="0"/>
          <w:divBdr>
            <w:top w:val="none" w:sz="0" w:space="0" w:color="auto"/>
            <w:left w:val="none" w:sz="0" w:space="0" w:color="auto"/>
            <w:bottom w:val="none" w:sz="0" w:space="0" w:color="auto"/>
            <w:right w:val="none" w:sz="0" w:space="0" w:color="auto"/>
          </w:divBdr>
        </w:div>
        <w:div w:id="396517027">
          <w:marLeft w:val="0"/>
          <w:marRight w:val="0"/>
          <w:marTop w:val="0"/>
          <w:marBottom w:val="0"/>
          <w:divBdr>
            <w:top w:val="none" w:sz="0" w:space="0" w:color="auto"/>
            <w:left w:val="none" w:sz="0" w:space="0" w:color="auto"/>
            <w:bottom w:val="none" w:sz="0" w:space="0" w:color="auto"/>
            <w:right w:val="none" w:sz="0" w:space="0" w:color="auto"/>
          </w:divBdr>
        </w:div>
      </w:divsChild>
    </w:div>
    <w:div w:id="1272055490">
      <w:bodyDiv w:val="1"/>
      <w:marLeft w:val="0"/>
      <w:marRight w:val="0"/>
      <w:marTop w:val="0"/>
      <w:marBottom w:val="0"/>
      <w:divBdr>
        <w:top w:val="none" w:sz="0" w:space="0" w:color="auto"/>
        <w:left w:val="none" w:sz="0" w:space="0" w:color="auto"/>
        <w:bottom w:val="none" w:sz="0" w:space="0" w:color="auto"/>
        <w:right w:val="none" w:sz="0" w:space="0" w:color="auto"/>
      </w:divBdr>
    </w:div>
    <w:div w:id="1302882408">
      <w:bodyDiv w:val="1"/>
      <w:marLeft w:val="0"/>
      <w:marRight w:val="0"/>
      <w:marTop w:val="0"/>
      <w:marBottom w:val="0"/>
      <w:divBdr>
        <w:top w:val="none" w:sz="0" w:space="0" w:color="auto"/>
        <w:left w:val="none" w:sz="0" w:space="0" w:color="auto"/>
        <w:bottom w:val="none" w:sz="0" w:space="0" w:color="auto"/>
        <w:right w:val="none" w:sz="0" w:space="0" w:color="auto"/>
      </w:divBdr>
      <w:divsChild>
        <w:div w:id="1101416954">
          <w:marLeft w:val="0"/>
          <w:marRight w:val="0"/>
          <w:marTop w:val="0"/>
          <w:marBottom w:val="0"/>
          <w:divBdr>
            <w:top w:val="none" w:sz="0" w:space="0" w:color="auto"/>
            <w:left w:val="none" w:sz="0" w:space="0" w:color="auto"/>
            <w:bottom w:val="none" w:sz="0" w:space="0" w:color="auto"/>
            <w:right w:val="none" w:sz="0" w:space="0" w:color="auto"/>
          </w:divBdr>
        </w:div>
        <w:div w:id="430124384">
          <w:marLeft w:val="0"/>
          <w:marRight w:val="0"/>
          <w:marTop w:val="0"/>
          <w:marBottom w:val="0"/>
          <w:divBdr>
            <w:top w:val="none" w:sz="0" w:space="0" w:color="auto"/>
            <w:left w:val="none" w:sz="0" w:space="0" w:color="auto"/>
            <w:bottom w:val="none" w:sz="0" w:space="0" w:color="auto"/>
            <w:right w:val="none" w:sz="0" w:space="0" w:color="auto"/>
          </w:divBdr>
        </w:div>
      </w:divsChild>
    </w:div>
    <w:div w:id="1424034917">
      <w:bodyDiv w:val="1"/>
      <w:marLeft w:val="0"/>
      <w:marRight w:val="0"/>
      <w:marTop w:val="0"/>
      <w:marBottom w:val="0"/>
      <w:divBdr>
        <w:top w:val="none" w:sz="0" w:space="0" w:color="auto"/>
        <w:left w:val="none" w:sz="0" w:space="0" w:color="auto"/>
        <w:bottom w:val="none" w:sz="0" w:space="0" w:color="auto"/>
        <w:right w:val="none" w:sz="0" w:space="0" w:color="auto"/>
      </w:divBdr>
      <w:divsChild>
        <w:div w:id="321979051">
          <w:marLeft w:val="0"/>
          <w:marRight w:val="0"/>
          <w:marTop w:val="0"/>
          <w:marBottom w:val="0"/>
          <w:divBdr>
            <w:top w:val="none" w:sz="0" w:space="0" w:color="auto"/>
            <w:left w:val="none" w:sz="0" w:space="0" w:color="auto"/>
            <w:bottom w:val="none" w:sz="0" w:space="0" w:color="auto"/>
            <w:right w:val="none" w:sz="0" w:space="0" w:color="auto"/>
          </w:divBdr>
        </w:div>
        <w:div w:id="1752043363">
          <w:marLeft w:val="0"/>
          <w:marRight w:val="0"/>
          <w:marTop w:val="0"/>
          <w:marBottom w:val="0"/>
          <w:divBdr>
            <w:top w:val="none" w:sz="0" w:space="0" w:color="auto"/>
            <w:left w:val="none" w:sz="0" w:space="0" w:color="auto"/>
            <w:bottom w:val="none" w:sz="0" w:space="0" w:color="auto"/>
            <w:right w:val="none" w:sz="0" w:space="0" w:color="auto"/>
          </w:divBdr>
        </w:div>
        <w:div w:id="1200585376">
          <w:marLeft w:val="0"/>
          <w:marRight w:val="0"/>
          <w:marTop w:val="0"/>
          <w:marBottom w:val="0"/>
          <w:divBdr>
            <w:top w:val="none" w:sz="0" w:space="0" w:color="auto"/>
            <w:left w:val="none" w:sz="0" w:space="0" w:color="auto"/>
            <w:bottom w:val="none" w:sz="0" w:space="0" w:color="auto"/>
            <w:right w:val="none" w:sz="0" w:space="0" w:color="auto"/>
          </w:divBdr>
        </w:div>
        <w:div w:id="66804416">
          <w:marLeft w:val="0"/>
          <w:marRight w:val="0"/>
          <w:marTop w:val="0"/>
          <w:marBottom w:val="0"/>
          <w:divBdr>
            <w:top w:val="none" w:sz="0" w:space="0" w:color="auto"/>
            <w:left w:val="none" w:sz="0" w:space="0" w:color="auto"/>
            <w:bottom w:val="none" w:sz="0" w:space="0" w:color="auto"/>
            <w:right w:val="none" w:sz="0" w:space="0" w:color="auto"/>
          </w:divBdr>
        </w:div>
        <w:div w:id="544221869">
          <w:marLeft w:val="0"/>
          <w:marRight w:val="0"/>
          <w:marTop w:val="0"/>
          <w:marBottom w:val="0"/>
          <w:divBdr>
            <w:top w:val="none" w:sz="0" w:space="0" w:color="auto"/>
            <w:left w:val="none" w:sz="0" w:space="0" w:color="auto"/>
            <w:bottom w:val="none" w:sz="0" w:space="0" w:color="auto"/>
            <w:right w:val="none" w:sz="0" w:space="0" w:color="auto"/>
          </w:divBdr>
        </w:div>
      </w:divsChild>
    </w:div>
    <w:div w:id="1439451135">
      <w:bodyDiv w:val="1"/>
      <w:marLeft w:val="0"/>
      <w:marRight w:val="0"/>
      <w:marTop w:val="0"/>
      <w:marBottom w:val="0"/>
      <w:divBdr>
        <w:top w:val="none" w:sz="0" w:space="0" w:color="auto"/>
        <w:left w:val="none" w:sz="0" w:space="0" w:color="auto"/>
        <w:bottom w:val="none" w:sz="0" w:space="0" w:color="auto"/>
        <w:right w:val="none" w:sz="0" w:space="0" w:color="auto"/>
      </w:divBdr>
      <w:divsChild>
        <w:div w:id="354157861">
          <w:marLeft w:val="0"/>
          <w:marRight w:val="0"/>
          <w:marTop w:val="0"/>
          <w:marBottom w:val="0"/>
          <w:divBdr>
            <w:top w:val="none" w:sz="0" w:space="0" w:color="auto"/>
            <w:left w:val="none" w:sz="0" w:space="0" w:color="auto"/>
            <w:bottom w:val="none" w:sz="0" w:space="0" w:color="auto"/>
            <w:right w:val="none" w:sz="0" w:space="0" w:color="auto"/>
          </w:divBdr>
        </w:div>
        <w:div w:id="2003504624">
          <w:marLeft w:val="0"/>
          <w:marRight w:val="0"/>
          <w:marTop w:val="0"/>
          <w:marBottom w:val="0"/>
          <w:divBdr>
            <w:top w:val="none" w:sz="0" w:space="0" w:color="auto"/>
            <w:left w:val="none" w:sz="0" w:space="0" w:color="auto"/>
            <w:bottom w:val="none" w:sz="0" w:space="0" w:color="auto"/>
            <w:right w:val="none" w:sz="0" w:space="0" w:color="auto"/>
          </w:divBdr>
        </w:div>
        <w:div w:id="1047678420">
          <w:marLeft w:val="0"/>
          <w:marRight w:val="0"/>
          <w:marTop w:val="0"/>
          <w:marBottom w:val="0"/>
          <w:divBdr>
            <w:top w:val="none" w:sz="0" w:space="0" w:color="auto"/>
            <w:left w:val="none" w:sz="0" w:space="0" w:color="auto"/>
            <w:bottom w:val="none" w:sz="0" w:space="0" w:color="auto"/>
            <w:right w:val="none" w:sz="0" w:space="0" w:color="auto"/>
          </w:divBdr>
        </w:div>
        <w:div w:id="1620575307">
          <w:marLeft w:val="0"/>
          <w:marRight w:val="0"/>
          <w:marTop w:val="0"/>
          <w:marBottom w:val="0"/>
          <w:divBdr>
            <w:top w:val="none" w:sz="0" w:space="0" w:color="auto"/>
            <w:left w:val="none" w:sz="0" w:space="0" w:color="auto"/>
            <w:bottom w:val="none" w:sz="0" w:space="0" w:color="auto"/>
            <w:right w:val="none" w:sz="0" w:space="0" w:color="auto"/>
          </w:divBdr>
        </w:div>
        <w:div w:id="893546504">
          <w:marLeft w:val="0"/>
          <w:marRight w:val="0"/>
          <w:marTop w:val="0"/>
          <w:marBottom w:val="0"/>
          <w:divBdr>
            <w:top w:val="none" w:sz="0" w:space="0" w:color="auto"/>
            <w:left w:val="none" w:sz="0" w:space="0" w:color="auto"/>
            <w:bottom w:val="none" w:sz="0" w:space="0" w:color="auto"/>
            <w:right w:val="none" w:sz="0" w:space="0" w:color="auto"/>
          </w:divBdr>
        </w:div>
        <w:div w:id="527834906">
          <w:marLeft w:val="0"/>
          <w:marRight w:val="0"/>
          <w:marTop w:val="0"/>
          <w:marBottom w:val="0"/>
          <w:divBdr>
            <w:top w:val="none" w:sz="0" w:space="0" w:color="auto"/>
            <w:left w:val="none" w:sz="0" w:space="0" w:color="auto"/>
            <w:bottom w:val="none" w:sz="0" w:space="0" w:color="auto"/>
            <w:right w:val="none" w:sz="0" w:space="0" w:color="auto"/>
          </w:divBdr>
        </w:div>
        <w:div w:id="1250240099">
          <w:marLeft w:val="0"/>
          <w:marRight w:val="0"/>
          <w:marTop w:val="0"/>
          <w:marBottom w:val="0"/>
          <w:divBdr>
            <w:top w:val="none" w:sz="0" w:space="0" w:color="auto"/>
            <w:left w:val="none" w:sz="0" w:space="0" w:color="auto"/>
            <w:bottom w:val="none" w:sz="0" w:space="0" w:color="auto"/>
            <w:right w:val="none" w:sz="0" w:space="0" w:color="auto"/>
          </w:divBdr>
        </w:div>
        <w:div w:id="1052656335">
          <w:marLeft w:val="0"/>
          <w:marRight w:val="0"/>
          <w:marTop w:val="0"/>
          <w:marBottom w:val="0"/>
          <w:divBdr>
            <w:top w:val="none" w:sz="0" w:space="0" w:color="auto"/>
            <w:left w:val="none" w:sz="0" w:space="0" w:color="auto"/>
            <w:bottom w:val="none" w:sz="0" w:space="0" w:color="auto"/>
            <w:right w:val="none" w:sz="0" w:space="0" w:color="auto"/>
          </w:divBdr>
        </w:div>
        <w:div w:id="263345146">
          <w:marLeft w:val="0"/>
          <w:marRight w:val="0"/>
          <w:marTop w:val="0"/>
          <w:marBottom w:val="0"/>
          <w:divBdr>
            <w:top w:val="none" w:sz="0" w:space="0" w:color="auto"/>
            <w:left w:val="none" w:sz="0" w:space="0" w:color="auto"/>
            <w:bottom w:val="none" w:sz="0" w:space="0" w:color="auto"/>
            <w:right w:val="none" w:sz="0" w:space="0" w:color="auto"/>
          </w:divBdr>
        </w:div>
        <w:div w:id="948120658">
          <w:marLeft w:val="0"/>
          <w:marRight w:val="0"/>
          <w:marTop w:val="0"/>
          <w:marBottom w:val="0"/>
          <w:divBdr>
            <w:top w:val="none" w:sz="0" w:space="0" w:color="auto"/>
            <w:left w:val="none" w:sz="0" w:space="0" w:color="auto"/>
            <w:bottom w:val="none" w:sz="0" w:space="0" w:color="auto"/>
            <w:right w:val="none" w:sz="0" w:space="0" w:color="auto"/>
          </w:divBdr>
        </w:div>
        <w:div w:id="1601527256">
          <w:marLeft w:val="0"/>
          <w:marRight w:val="0"/>
          <w:marTop w:val="0"/>
          <w:marBottom w:val="0"/>
          <w:divBdr>
            <w:top w:val="none" w:sz="0" w:space="0" w:color="auto"/>
            <w:left w:val="none" w:sz="0" w:space="0" w:color="auto"/>
            <w:bottom w:val="none" w:sz="0" w:space="0" w:color="auto"/>
            <w:right w:val="none" w:sz="0" w:space="0" w:color="auto"/>
          </w:divBdr>
        </w:div>
      </w:divsChild>
    </w:div>
    <w:div w:id="1556551945">
      <w:bodyDiv w:val="1"/>
      <w:marLeft w:val="0"/>
      <w:marRight w:val="0"/>
      <w:marTop w:val="0"/>
      <w:marBottom w:val="0"/>
      <w:divBdr>
        <w:top w:val="none" w:sz="0" w:space="0" w:color="auto"/>
        <w:left w:val="none" w:sz="0" w:space="0" w:color="auto"/>
        <w:bottom w:val="none" w:sz="0" w:space="0" w:color="auto"/>
        <w:right w:val="none" w:sz="0" w:space="0" w:color="auto"/>
      </w:divBdr>
      <w:divsChild>
        <w:div w:id="795221738">
          <w:marLeft w:val="0"/>
          <w:marRight w:val="0"/>
          <w:marTop w:val="0"/>
          <w:marBottom w:val="0"/>
          <w:divBdr>
            <w:top w:val="none" w:sz="0" w:space="0" w:color="auto"/>
            <w:left w:val="none" w:sz="0" w:space="0" w:color="auto"/>
            <w:bottom w:val="none" w:sz="0" w:space="0" w:color="auto"/>
            <w:right w:val="none" w:sz="0" w:space="0" w:color="auto"/>
          </w:divBdr>
        </w:div>
        <w:div w:id="280039494">
          <w:marLeft w:val="0"/>
          <w:marRight w:val="0"/>
          <w:marTop w:val="0"/>
          <w:marBottom w:val="0"/>
          <w:divBdr>
            <w:top w:val="none" w:sz="0" w:space="0" w:color="auto"/>
            <w:left w:val="none" w:sz="0" w:space="0" w:color="auto"/>
            <w:bottom w:val="none" w:sz="0" w:space="0" w:color="auto"/>
            <w:right w:val="none" w:sz="0" w:space="0" w:color="auto"/>
          </w:divBdr>
        </w:div>
      </w:divsChild>
    </w:div>
    <w:div w:id="1569222012">
      <w:bodyDiv w:val="1"/>
      <w:marLeft w:val="0"/>
      <w:marRight w:val="0"/>
      <w:marTop w:val="0"/>
      <w:marBottom w:val="0"/>
      <w:divBdr>
        <w:top w:val="none" w:sz="0" w:space="0" w:color="auto"/>
        <w:left w:val="none" w:sz="0" w:space="0" w:color="auto"/>
        <w:bottom w:val="none" w:sz="0" w:space="0" w:color="auto"/>
        <w:right w:val="none" w:sz="0" w:space="0" w:color="auto"/>
      </w:divBdr>
      <w:divsChild>
        <w:div w:id="792331879">
          <w:marLeft w:val="0"/>
          <w:marRight w:val="0"/>
          <w:marTop w:val="0"/>
          <w:marBottom w:val="0"/>
          <w:divBdr>
            <w:top w:val="none" w:sz="0" w:space="0" w:color="auto"/>
            <w:left w:val="none" w:sz="0" w:space="0" w:color="auto"/>
            <w:bottom w:val="none" w:sz="0" w:space="0" w:color="auto"/>
            <w:right w:val="none" w:sz="0" w:space="0" w:color="auto"/>
          </w:divBdr>
        </w:div>
        <w:div w:id="537932585">
          <w:marLeft w:val="0"/>
          <w:marRight w:val="0"/>
          <w:marTop w:val="0"/>
          <w:marBottom w:val="0"/>
          <w:divBdr>
            <w:top w:val="none" w:sz="0" w:space="0" w:color="auto"/>
            <w:left w:val="none" w:sz="0" w:space="0" w:color="auto"/>
            <w:bottom w:val="none" w:sz="0" w:space="0" w:color="auto"/>
            <w:right w:val="none" w:sz="0" w:space="0" w:color="auto"/>
          </w:divBdr>
        </w:div>
        <w:div w:id="1388652972">
          <w:marLeft w:val="0"/>
          <w:marRight w:val="0"/>
          <w:marTop w:val="0"/>
          <w:marBottom w:val="0"/>
          <w:divBdr>
            <w:top w:val="none" w:sz="0" w:space="0" w:color="auto"/>
            <w:left w:val="none" w:sz="0" w:space="0" w:color="auto"/>
            <w:bottom w:val="none" w:sz="0" w:space="0" w:color="auto"/>
            <w:right w:val="none" w:sz="0" w:space="0" w:color="auto"/>
          </w:divBdr>
        </w:div>
        <w:div w:id="821845892">
          <w:marLeft w:val="0"/>
          <w:marRight w:val="0"/>
          <w:marTop w:val="0"/>
          <w:marBottom w:val="0"/>
          <w:divBdr>
            <w:top w:val="none" w:sz="0" w:space="0" w:color="auto"/>
            <w:left w:val="none" w:sz="0" w:space="0" w:color="auto"/>
            <w:bottom w:val="none" w:sz="0" w:space="0" w:color="auto"/>
            <w:right w:val="none" w:sz="0" w:space="0" w:color="auto"/>
          </w:divBdr>
        </w:div>
        <w:div w:id="1819303812">
          <w:marLeft w:val="0"/>
          <w:marRight w:val="0"/>
          <w:marTop w:val="0"/>
          <w:marBottom w:val="0"/>
          <w:divBdr>
            <w:top w:val="none" w:sz="0" w:space="0" w:color="auto"/>
            <w:left w:val="none" w:sz="0" w:space="0" w:color="auto"/>
            <w:bottom w:val="none" w:sz="0" w:space="0" w:color="auto"/>
            <w:right w:val="none" w:sz="0" w:space="0" w:color="auto"/>
          </w:divBdr>
        </w:div>
      </w:divsChild>
    </w:div>
    <w:div w:id="1595699962">
      <w:bodyDiv w:val="1"/>
      <w:marLeft w:val="0"/>
      <w:marRight w:val="0"/>
      <w:marTop w:val="0"/>
      <w:marBottom w:val="0"/>
      <w:divBdr>
        <w:top w:val="none" w:sz="0" w:space="0" w:color="auto"/>
        <w:left w:val="none" w:sz="0" w:space="0" w:color="auto"/>
        <w:bottom w:val="none" w:sz="0" w:space="0" w:color="auto"/>
        <w:right w:val="none" w:sz="0" w:space="0" w:color="auto"/>
      </w:divBdr>
    </w:div>
    <w:div w:id="1612973173">
      <w:bodyDiv w:val="1"/>
      <w:marLeft w:val="0"/>
      <w:marRight w:val="0"/>
      <w:marTop w:val="0"/>
      <w:marBottom w:val="0"/>
      <w:divBdr>
        <w:top w:val="none" w:sz="0" w:space="0" w:color="auto"/>
        <w:left w:val="none" w:sz="0" w:space="0" w:color="auto"/>
        <w:bottom w:val="none" w:sz="0" w:space="0" w:color="auto"/>
        <w:right w:val="none" w:sz="0" w:space="0" w:color="auto"/>
      </w:divBdr>
    </w:div>
    <w:div w:id="1672294492">
      <w:bodyDiv w:val="1"/>
      <w:marLeft w:val="0"/>
      <w:marRight w:val="0"/>
      <w:marTop w:val="0"/>
      <w:marBottom w:val="0"/>
      <w:divBdr>
        <w:top w:val="none" w:sz="0" w:space="0" w:color="auto"/>
        <w:left w:val="none" w:sz="0" w:space="0" w:color="auto"/>
        <w:bottom w:val="none" w:sz="0" w:space="0" w:color="auto"/>
        <w:right w:val="none" w:sz="0" w:space="0" w:color="auto"/>
      </w:divBdr>
    </w:div>
    <w:div w:id="1680690748">
      <w:bodyDiv w:val="1"/>
      <w:marLeft w:val="0"/>
      <w:marRight w:val="0"/>
      <w:marTop w:val="0"/>
      <w:marBottom w:val="0"/>
      <w:divBdr>
        <w:top w:val="none" w:sz="0" w:space="0" w:color="auto"/>
        <w:left w:val="none" w:sz="0" w:space="0" w:color="auto"/>
        <w:bottom w:val="none" w:sz="0" w:space="0" w:color="auto"/>
        <w:right w:val="none" w:sz="0" w:space="0" w:color="auto"/>
      </w:divBdr>
    </w:div>
    <w:div w:id="1748651021">
      <w:bodyDiv w:val="1"/>
      <w:marLeft w:val="0"/>
      <w:marRight w:val="0"/>
      <w:marTop w:val="0"/>
      <w:marBottom w:val="0"/>
      <w:divBdr>
        <w:top w:val="none" w:sz="0" w:space="0" w:color="auto"/>
        <w:left w:val="none" w:sz="0" w:space="0" w:color="auto"/>
        <w:bottom w:val="none" w:sz="0" w:space="0" w:color="auto"/>
        <w:right w:val="none" w:sz="0" w:space="0" w:color="auto"/>
      </w:divBdr>
    </w:div>
    <w:div w:id="1812483988">
      <w:bodyDiv w:val="1"/>
      <w:marLeft w:val="0"/>
      <w:marRight w:val="0"/>
      <w:marTop w:val="0"/>
      <w:marBottom w:val="0"/>
      <w:divBdr>
        <w:top w:val="none" w:sz="0" w:space="0" w:color="auto"/>
        <w:left w:val="none" w:sz="0" w:space="0" w:color="auto"/>
        <w:bottom w:val="none" w:sz="0" w:space="0" w:color="auto"/>
        <w:right w:val="none" w:sz="0" w:space="0" w:color="auto"/>
      </w:divBdr>
    </w:div>
    <w:div w:id="1862815757">
      <w:bodyDiv w:val="1"/>
      <w:marLeft w:val="0"/>
      <w:marRight w:val="0"/>
      <w:marTop w:val="0"/>
      <w:marBottom w:val="0"/>
      <w:divBdr>
        <w:top w:val="none" w:sz="0" w:space="0" w:color="auto"/>
        <w:left w:val="none" w:sz="0" w:space="0" w:color="auto"/>
        <w:bottom w:val="none" w:sz="0" w:space="0" w:color="auto"/>
        <w:right w:val="none" w:sz="0" w:space="0" w:color="auto"/>
      </w:divBdr>
    </w:div>
    <w:div w:id="1878928122">
      <w:bodyDiv w:val="1"/>
      <w:marLeft w:val="0"/>
      <w:marRight w:val="0"/>
      <w:marTop w:val="0"/>
      <w:marBottom w:val="0"/>
      <w:divBdr>
        <w:top w:val="none" w:sz="0" w:space="0" w:color="auto"/>
        <w:left w:val="none" w:sz="0" w:space="0" w:color="auto"/>
        <w:bottom w:val="none" w:sz="0" w:space="0" w:color="auto"/>
        <w:right w:val="none" w:sz="0" w:space="0" w:color="auto"/>
      </w:divBdr>
    </w:div>
    <w:div w:id="1911043074">
      <w:bodyDiv w:val="1"/>
      <w:marLeft w:val="0"/>
      <w:marRight w:val="0"/>
      <w:marTop w:val="0"/>
      <w:marBottom w:val="0"/>
      <w:divBdr>
        <w:top w:val="none" w:sz="0" w:space="0" w:color="auto"/>
        <w:left w:val="none" w:sz="0" w:space="0" w:color="auto"/>
        <w:bottom w:val="none" w:sz="0" w:space="0" w:color="auto"/>
        <w:right w:val="none" w:sz="0" w:space="0" w:color="auto"/>
      </w:divBdr>
      <w:divsChild>
        <w:div w:id="1023937585">
          <w:marLeft w:val="0"/>
          <w:marRight w:val="0"/>
          <w:marTop w:val="0"/>
          <w:marBottom w:val="0"/>
          <w:divBdr>
            <w:top w:val="none" w:sz="0" w:space="0" w:color="auto"/>
            <w:left w:val="none" w:sz="0" w:space="0" w:color="auto"/>
            <w:bottom w:val="none" w:sz="0" w:space="0" w:color="auto"/>
            <w:right w:val="none" w:sz="0" w:space="0" w:color="auto"/>
          </w:divBdr>
        </w:div>
        <w:div w:id="769080806">
          <w:marLeft w:val="0"/>
          <w:marRight w:val="0"/>
          <w:marTop w:val="0"/>
          <w:marBottom w:val="0"/>
          <w:divBdr>
            <w:top w:val="none" w:sz="0" w:space="0" w:color="auto"/>
            <w:left w:val="none" w:sz="0" w:space="0" w:color="auto"/>
            <w:bottom w:val="none" w:sz="0" w:space="0" w:color="auto"/>
            <w:right w:val="none" w:sz="0" w:space="0" w:color="auto"/>
          </w:divBdr>
        </w:div>
        <w:div w:id="1129325977">
          <w:marLeft w:val="0"/>
          <w:marRight w:val="0"/>
          <w:marTop w:val="0"/>
          <w:marBottom w:val="0"/>
          <w:divBdr>
            <w:top w:val="none" w:sz="0" w:space="0" w:color="auto"/>
            <w:left w:val="none" w:sz="0" w:space="0" w:color="auto"/>
            <w:bottom w:val="none" w:sz="0" w:space="0" w:color="auto"/>
            <w:right w:val="none" w:sz="0" w:space="0" w:color="auto"/>
          </w:divBdr>
        </w:div>
        <w:div w:id="1733506223">
          <w:marLeft w:val="0"/>
          <w:marRight w:val="0"/>
          <w:marTop w:val="0"/>
          <w:marBottom w:val="0"/>
          <w:divBdr>
            <w:top w:val="none" w:sz="0" w:space="0" w:color="auto"/>
            <w:left w:val="none" w:sz="0" w:space="0" w:color="auto"/>
            <w:bottom w:val="none" w:sz="0" w:space="0" w:color="auto"/>
            <w:right w:val="none" w:sz="0" w:space="0" w:color="auto"/>
          </w:divBdr>
        </w:div>
        <w:div w:id="976884403">
          <w:marLeft w:val="0"/>
          <w:marRight w:val="0"/>
          <w:marTop w:val="0"/>
          <w:marBottom w:val="0"/>
          <w:divBdr>
            <w:top w:val="none" w:sz="0" w:space="0" w:color="auto"/>
            <w:left w:val="none" w:sz="0" w:space="0" w:color="auto"/>
            <w:bottom w:val="none" w:sz="0" w:space="0" w:color="auto"/>
            <w:right w:val="none" w:sz="0" w:space="0" w:color="auto"/>
          </w:divBdr>
        </w:div>
      </w:divsChild>
    </w:div>
    <w:div w:id="1935555561">
      <w:bodyDiv w:val="1"/>
      <w:marLeft w:val="0"/>
      <w:marRight w:val="0"/>
      <w:marTop w:val="0"/>
      <w:marBottom w:val="0"/>
      <w:divBdr>
        <w:top w:val="none" w:sz="0" w:space="0" w:color="auto"/>
        <w:left w:val="none" w:sz="0" w:space="0" w:color="auto"/>
        <w:bottom w:val="none" w:sz="0" w:space="0" w:color="auto"/>
        <w:right w:val="none" w:sz="0" w:space="0" w:color="auto"/>
      </w:divBdr>
    </w:div>
    <w:div w:id="1985306994">
      <w:bodyDiv w:val="1"/>
      <w:marLeft w:val="0"/>
      <w:marRight w:val="0"/>
      <w:marTop w:val="0"/>
      <w:marBottom w:val="0"/>
      <w:divBdr>
        <w:top w:val="none" w:sz="0" w:space="0" w:color="auto"/>
        <w:left w:val="none" w:sz="0" w:space="0" w:color="auto"/>
        <w:bottom w:val="none" w:sz="0" w:space="0" w:color="auto"/>
        <w:right w:val="none" w:sz="0" w:space="0" w:color="auto"/>
      </w:divBdr>
    </w:div>
    <w:div w:id="2014213329">
      <w:bodyDiv w:val="1"/>
      <w:marLeft w:val="0"/>
      <w:marRight w:val="0"/>
      <w:marTop w:val="0"/>
      <w:marBottom w:val="0"/>
      <w:divBdr>
        <w:top w:val="none" w:sz="0" w:space="0" w:color="auto"/>
        <w:left w:val="none" w:sz="0" w:space="0" w:color="auto"/>
        <w:bottom w:val="none" w:sz="0" w:space="0" w:color="auto"/>
        <w:right w:val="none" w:sz="0" w:space="0" w:color="auto"/>
      </w:divBdr>
    </w:div>
    <w:div w:id="2057271316">
      <w:bodyDiv w:val="1"/>
      <w:marLeft w:val="0"/>
      <w:marRight w:val="0"/>
      <w:marTop w:val="0"/>
      <w:marBottom w:val="0"/>
      <w:divBdr>
        <w:top w:val="none" w:sz="0" w:space="0" w:color="auto"/>
        <w:left w:val="none" w:sz="0" w:space="0" w:color="auto"/>
        <w:bottom w:val="none" w:sz="0" w:space="0" w:color="auto"/>
        <w:right w:val="none" w:sz="0" w:space="0" w:color="auto"/>
      </w:divBdr>
      <w:divsChild>
        <w:div w:id="1651208718">
          <w:marLeft w:val="0"/>
          <w:marRight w:val="0"/>
          <w:marTop w:val="0"/>
          <w:marBottom w:val="0"/>
          <w:divBdr>
            <w:top w:val="none" w:sz="0" w:space="0" w:color="auto"/>
            <w:left w:val="none" w:sz="0" w:space="0" w:color="auto"/>
            <w:bottom w:val="none" w:sz="0" w:space="0" w:color="auto"/>
            <w:right w:val="none" w:sz="0" w:space="0" w:color="auto"/>
          </w:divBdr>
        </w:div>
        <w:div w:id="550532194">
          <w:marLeft w:val="0"/>
          <w:marRight w:val="0"/>
          <w:marTop w:val="0"/>
          <w:marBottom w:val="0"/>
          <w:divBdr>
            <w:top w:val="none" w:sz="0" w:space="0" w:color="auto"/>
            <w:left w:val="none" w:sz="0" w:space="0" w:color="auto"/>
            <w:bottom w:val="none" w:sz="0" w:space="0" w:color="auto"/>
            <w:right w:val="none" w:sz="0" w:space="0" w:color="auto"/>
          </w:divBdr>
        </w:div>
      </w:divsChild>
    </w:div>
    <w:div w:id="21096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72E0-CDB7-4309-BAE4-D169FDF0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2897</TotalTime>
  <Pages>24</Pages>
  <Words>6041</Words>
  <Characters>34437</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74</cp:revision>
  <cp:lastPrinted>2015-10-07T16:16:00Z</cp:lastPrinted>
  <dcterms:created xsi:type="dcterms:W3CDTF">2015-11-12T11:04:00Z</dcterms:created>
  <dcterms:modified xsi:type="dcterms:W3CDTF">2016-05-05T15:24:00Z</dcterms:modified>
</cp:coreProperties>
</file>