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2880" w14:textId="333639EC" w:rsidR="006274E9" w:rsidRPr="002B2651" w:rsidRDefault="006274E9" w:rsidP="00D9149F">
      <w:pPr>
        <w:pStyle w:val="NormalWeb"/>
        <w:shd w:val="clear" w:color="auto" w:fill="FFFFFF"/>
        <w:spacing w:before="0" w:beforeAutospacing="0" w:after="0" w:afterAutospacing="0" w:line="480" w:lineRule="auto"/>
        <w:textAlignment w:val="baseline"/>
        <w:rPr>
          <w:b/>
        </w:rPr>
      </w:pPr>
      <w:r w:rsidRPr="002B2651">
        <w:rPr>
          <w:b/>
        </w:rPr>
        <w:t xml:space="preserve">Teaching, In Spite of Excellence: </w:t>
      </w:r>
      <w:r w:rsidR="009309DC" w:rsidRPr="002B2651">
        <w:rPr>
          <w:b/>
        </w:rPr>
        <w:t>Recovering</w:t>
      </w:r>
      <w:r w:rsidRPr="002B2651">
        <w:rPr>
          <w:b/>
        </w:rPr>
        <w:t xml:space="preserve"> </w:t>
      </w:r>
      <w:r w:rsidR="00CB4E72" w:rsidRPr="002B2651">
        <w:rPr>
          <w:b/>
        </w:rPr>
        <w:t>a</w:t>
      </w:r>
      <w:r w:rsidRPr="002B2651">
        <w:rPr>
          <w:b/>
        </w:rPr>
        <w:t xml:space="preserve"> </w:t>
      </w:r>
      <w:r w:rsidR="00CB4E72" w:rsidRPr="002B2651">
        <w:rPr>
          <w:b/>
        </w:rPr>
        <w:t>Practice</w:t>
      </w:r>
      <w:r w:rsidRPr="002B2651">
        <w:rPr>
          <w:b/>
        </w:rPr>
        <w:t xml:space="preserve"> of Teaching-</w:t>
      </w:r>
      <w:r w:rsidR="00CB4E72" w:rsidRPr="002B2651">
        <w:rPr>
          <w:b/>
        </w:rPr>
        <w:t>led</w:t>
      </w:r>
      <w:r w:rsidRPr="002B2651">
        <w:rPr>
          <w:b/>
        </w:rPr>
        <w:t xml:space="preserve"> Research</w:t>
      </w:r>
    </w:p>
    <w:p w14:paraId="62E91CB3" w14:textId="77777777" w:rsidR="00DD5511" w:rsidRPr="002B2651" w:rsidRDefault="00DD5511" w:rsidP="00D9149F">
      <w:pPr>
        <w:pStyle w:val="NormalWeb"/>
        <w:shd w:val="clear" w:color="auto" w:fill="FFFFFF"/>
        <w:spacing w:before="0" w:beforeAutospacing="0" w:after="0" w:afterAutospacing="0" w:line="480" w:lineRule="auto"/>
        <w:textAlignment w:val="baseline"/>
        <w:rPr>
          <w:sz w:val="20"/>
          <w:szCs w:val="20"/>
        </w:rPr>
      </w:pPr>
    </w:p>
    <w:p w14:paraId="0796D53D" w14:textId="6B0E7DFF" w:rsidR="00471EE0" w:rsidRPr="002B2651" w:rsidRDefault="00471EE0" w:rsidP="00D9149F">
      <w:pPr>
        <w:pStyle w:val="NormalWeb"/>
        <w:shd w:val="clear" w:color="auto" w:fill="FFFFFF"/>
        <w:spacing w:before="0" w:beforeAutospacing="0" w:after="0" w:afterAutospacing="0" w:line="480" w:lineRule="auto"/>
        <w:textAlignment w:val="baseline"/>
        <w:rPr>
          <w:b/>
          <w:sz w:val="22"/>
          <w:szCs w:val="22"/>
        </w:rPr>
      </w:pPr>
      <w:r w:rsidRPr="002B2651">
        <w:rPr>
          <w:b/>
          <w:sz w:val="22"/>
          <w:szCs w:val="22"/>
        </w:rPr>
        <w:t>Abstract</w:t>
      </w:r>
    </w:p>
    <w:p w14:paraId="407F3484" w14:textId="41803F70" w:rsidR="00471EE0" w:rsidRPr="002B2651" w:rsidRDefault="005A4DF9" w:rsidP="00D9149F">
      <w:pPr>
        <w:pStyle w:val="NormalWeb"/>
        <w:shd w:val="clear" w:color="auto" w:fill="FFFFFF"/>
        <w:spacing w:before="0" w:beforeAutospacing="0" w:after="0" w:afterAutospacing="0" w:line="480" w:lineRule="auto"/>
        <w:textAlignment w:val="baseline"/>
        <w:rPr>
          <w:sz w:val="20"/>
          <w:szCs w:val="20"/>
        </w:rPr>
      </w:pPr>
      <w:r w:rsidRPr="002B2651">
        <w:rPr>
          <w:sz w:val="20"/>
          <w:szCs w:val="20"/>
        </w:rPr>
        <w:t>Although</w:t>
      </w:r>
      <w:r w:rsidR="00772F0A" w:rsidRPr="002B2651">
        <w:rPr>
          <w:sz w:val="20"/>
          <w:szCs w:val="20"/>
        </w:rPr>
        <w:t xml:space="preserve">, </w:t>
      </w:r>
      <w:proofErr w:type="gramStart"/>
      <w:r w:rsidR="00772F0A" w:rsidRPr="002B2651">
        <w:rPr>
          <w:sz w:val="20"/>
          <w:szCs w:val="20"/>
        </w:rPr>
        <w:t>as a result</w:t>
      </w:r>
      <w:proofErr w:type="gramEnd"/>
      <w:r w:rsidR="00772F0A" w:rsidRPr="002B2651">
        <w:rPr>
          <w:sz w:val="20"/>
          <w:szCs w:val="20"/>
        </w:rPr>
        <w:t xml:space="preserve"> of the introduction of the Teaching Excellence Framework, </w:t>
      </w:r>
      <w:r w:rsidRPr="002B2651">
        <w:rPr>
          <w:sz w:val="20"/>
          <w:szCs w:val="20"/>
        </w:rPr>
        <w:t xml:space="preserve">the principle of </w:t>
      </w:r>
      <w:r w:rsidR="00471EE0" w:rsidRPr="002B2651">
        <w:rPr>
          <w:sz w:val="20"/>
          <w:szCs w:val="20"/>
        </w:rPr>
        <w:t xml:space="preserve">teaching excellence </w:t>
      </w:r>
      <w:r w:rsidRPr="002B2651">
        <w:rPr>
          <w:sz w:val="20"/>
          <w:szCs w:val="20"/>
        </w:rPr>
        <w:t>is</w:t>
      </w:r>
      <w:r w:rsidR="00471EE0" w:rsidRPr="002B2651">
        <w:rPr>
          <w:sz w:val="20"/>
          <w:szCs w:val="20"/>
        </w:rPr>
        <w:t xml:space="preserve"> receiving renewed attention </w:t>
      </w:r>
      <w:r w:rsidR="00772F0A" w:rsidRPr="002B2651">
        <w:rPr>
          <w:sz w:val="20"/>
          <w:szCs w:val="20"/>
        </w:rPr>
        <w:t xml:space="preserve">in English higher education, </w:t>
      </w:r>
      <w:r w:rsidRPr="002B2651">
        <w:rPr>
          <w:sz w:val="20"/>
          <w:szCs w:val="20"/>
        </w:rPr>
        <w:t>the idea has been left</w:t>
      </w:r>
      <w:r w:rsidR="00772F0A" w:rsidRPr="002B2651">
        <w:rPr>
          <w:sz w:val="20"/>
          <w:szCs w:val="20"/>
        </w:rPr>
        <w:t xml:space="preserve"> largely</w:t>
      </w:r>
      <w:r w:rsidRPr="002B2651">
        <w:rPr>
          <w:sz w:val="20"/>
          <w:szCs w:val="20"/>
        </w:rPr>
        <w:t xml:space="preserve"> undefined. The cynic might argue, </w:t>
      </w:r>
      <w:r w:rsidR="0025427C" w:rsidRPr="002B2651">
        <w:rPr>
          <w:sz w:val="20"/>
          <w:szCs w:val="20"/>
        </w:rPr>
        <w:t>in agreement with</w:t>
      </w:r>
      <w:r w:rsidRPr="002B2651">
        <w:rPr>
          <w:sz w:val="20"/>
          <w:szCs w:val="20"/>
        </w:rPr>
        <w:t xml:space="preserve"> Bill Readings, that this lack of a precise definition is deliberate, since teaching excellence is not designed to o</w:t>
      </w:r>
      <w:r w:rsidR="002B2651" w:rsidRPr="002B2651">
        <w:rPr>
          <w:sz w:val="20"/>
          <w:szCs w:val="20"/>
        </w:rPr>
        <w:t xml:space="preserve">bserve teaching but to permit an integrated </w:t>
      </w:r>
      <w:r w:rsidRPr="002B2651">
        <w:rPr>
          <w:sz w:val="20"/>
          <w:szCs w:val="20"/>
        </w:rPr>
        <w:t>system of accounting. This article</w:t>
      </w:r>
      <w:r w:rsidR="0025427C" w:rsidRPr="002B2651">
        <w:rPr>
          <w:sz w:val="20"/>
          <w:szCs w:val="20"/>
        </w:rPr>
        <w:t>, however,</w:t>
      </w:r>
      <w:r w:rsidRPr="002B2651">
        <w:rPr>
          <w:sz w:val="20"/>
          <w:szCs w:val="20"/>
        </w:rPr>
        <w:t xml:space="preserve"> develops a different line of criticism.</w:t>
      </w:r>
      <w:r w:rsidR="0025427C" w:rsidRPr="002B2651">
        <w:rPr>
          <w:sz w:val="20"/>
          <w:szCs w:val="20"/>
        </w:rPr>
        <w:t xml:space="preserve"> Following </w:t>
      </w:r>
      <w:proofErr w:type="spellStart"/>
      <w:r w:rsidR="0025427C" w:rsidRPr="002B2651">
        <w:rPr>
          <w:sz w:val="20"/>
          <w:szCs w:val="20"/>
        </w:rPr>
        <w:t>Readings’s</w:t>
      </w:r>
      <w:proofErr w:type="spellEnd"/>
      <w:r w:rsidR="0025427C" w:rsidRPr="002B2651">
        <w:rPr>
          <w:sz w:val="20"/>
          <w:szCs w:val="20"/>
        </w:rPr>
        <w:t xml:space="preserve"> characterization of “excellence” as symptomatic of the “Americanization” of higher education, it traces the principle of teaching excellence in English educational discourse back to the influence of debates, led by Ernest Boyer in the US, concerning the teaching-research nexus. </w:t>
      </w:r>
      <w:proofErr w:type="gramStart"/>
      <w:r w:rsidR="0025427C" w:rsidRPr="002B2651">
        <w:rPr>
          <w:sz w:val="20"/>
          <w:szCs w:val="20"/>
        </w:rPr>
        <w:t>Co</w:t>
      </w:r>
      <w:r w:rsidRPr="002B2651">
        <w:rPr>
          <w:sz w:val="20"/>
          <w:szCs w:val="20"/>
        </w:rPr>
        <w:t>ntextualizing these debates in relation to ideas about the learning society influenced by theories of human capital</w:t>
      </w:r>
      <w:r w:rsidR="00772F0A" w:rsidRPr="002B2651">
        <w:rPr>
          <w:sz w:val="20"/>
          <w:szCs w:val="20"/>
        </w:rPr>
        <w:t xml:space="preserve"> and investment in </w:t>
      </w:r>
      <w:r w:rsidR="002B2651" w:rsidRPr="002B2651">
        <w:rPr>
          <w:sz w:val="20"/>
          <w:szCs w:val="20"/>
        </w:rPr>
        <w:t xml:space="preserve">national </w:t>
      </w:r>
      <w:r w:rsidR="00772F0A" w:rsidRPr="002B2651">
        <w:rPr>
          <w:sz w:val="20"/>
          <w:szCs w:val="20"/>
        </w:rPr>
        <w:t>productivity</w:t>
      </w:r>
      <w:r w:rsidRPr="002B2651">
        <w:rPr>
          <w:sz w:val="20"/>
          <w:szCs w:val="20"/>
        </w:rPr>
        <w:t xml:space="preserve">, </w:t>
      </w:r>
      <w:r w:rsidR="0025427C" w:rsidRPr="002B2651">
        <w:rPr>
          <w:sz w:val="20"/>
          <w:szCs w:val="20"/>
        </w:rPr>
        <w:t>it takes issue</w:t>
      </w:r>
      <w:r w:rsidRPr="002B2651">
        <w:rPr>
          <w:sz w:val="20"/>
          <w:szCs w:val="20"/>
        </w:rPr>
        <w:t xml:space="preserve"> with </w:t>
      </w:r>
      <w:r w:rsidR="0025427C" w:rsidRPr="002B2651">
        <w:rPr>
          <w:sz w:val="20"/>
          <w:szCs w:val="20"/>
        </w:rPr>
        <w:t xml:space="preserve">descriptions of </w:t>
      </w:r>
      <w:r w:rsidR="002E7042">
        <w:rPr>
          <w:sz w:val="20"/>
          <w:szCs w:val="20"/>
        </w:rPr>
        <w:t>recent</w:t>
      </w:r>
      <w:r w:rsidR="0025427C" w:rsidRPr="002B2651">
        <w:rPr>
          <w:sz w:val="20"/>
          <w:szCs w:val="20"/>
        </w:rPr>
        <w:t xml:space="preserve"> policy that overemphasize the corporate structure of the university</w:t>
      </w:r>
      <w:r w:rsidR="00772F0A" w:rsidRPr="002B2651">
        <w:rPr>
          <w:sz w:val="20"/>
          <w:szCs w:val="20"/>
        </w:rPr>
        <w:t xml:space="preserve"> </w:t>
      </w:r>
      <w:r w:rsidR="0025427C" w:rsidRPr="002B2651">
        <w:rPr>
          <w:sz w:val="20"/>
          <w:szCs w:val="20"/>
        </w:rPr>
        <w:t xml:space="preserve">and </w:t>
      </w:r>
      <w:r w:rsidR="00772F0A" w:rsidRPr="002B2651">
        <w:rPr>
          <w:sz w:val="20"/>
          <w:szCs w:val="20"/>
        </w:rPr>
        <w:t>its vi</w:t>
      </w:r>
      <w:r w:rsidR="002E7042">
        <w:rPr>
          <w:sz w:val="20"/>
          <w:szCs w:val="20"/>
        </w:rPr>
        <w:t>sion of the student as consumer</w:t>
      </w:r>
      <w:r w:rsidR="00772F0A" w:rsidRPr="002B2651">
        <w:rPr>
          <w:sz w:val="20"/>
          <w:szCs w:val="20"/>
        </w:rPr>
        <w:t xml:space="preserve"> at the expense of recognizing the continuation of </w:t>
      </w:r>
      <w:r w:rsidR="002B2651" w:rsidRPr="002B2651">
        <w:rPr>
          <w:sz w:val="20"/>
          <w:szCs w:val="20"/>
        </w:rPr>
        <w:t xml:space="preserve">the </w:t>
      </w:r>
      <w:r w:rsidR="00772F0A" w:rsidRPr="002B2651">
        <w:rPr>
          <w:sz w:val="20"/>
          <w:szCs w:val="20"/>
        </w:rPr>
        <w:t>nation-state organization of the student as producer.</w:t>
      </w:r>
      <w:proofErr w:type="gramEnd"/>
      <w:r w:rsidR="00772F0A" w:rsidRPr="002B2651">
        <w:rPr>
          <w:sz w:val="20"/>
          <w:szCs w:val="20"/>
        </w:rPr>
        <w:t xml:space="preserve"> Reconnecting this broader framework back to the teaching-research nexus, </w:t>
      </w:r>
      <w:r w:rsidR="002E7042">
        <w:rPr>
          <w:sz w:val="20"/>
          <w:szCs w:val="20"/>
        </w:rPr>
        <w:t xml:space="preserve">the article </w:t>
      </w:r>
      <w:r w:rsidR="00772F0A" w:rsidRPr="002B2651">
        <w:rPr>
          <w:sz w:val="20"/>
          <w:szCs w:val="20"/>
        </w:rPr>
        <w:t>examines how this intersects with the dominant agenda of research-led teaching excellence</w:t>
      </w:r>
      <w:r w:rsidR="002B2651" w:rsidRPr="002B2651">
        <w:rPr>
          <w:sz w:val="20"/>
          <w:szCs w:val="20"/>
        </w:rPr>
        <w:t>,</w:t>
      </w:r>
      <w:r w:rsidR="00772F0A" w:rsidRPr="002B2651">
        <w:rPr>
          <w:sz w:val="20"/>
          <w:szCs w:val="20"/>
        </w:rPr>
        <w:t xml:space="preserve"> centred on the idea of the productivity of research</w:t>
      </w:r>
      <w:r w:rsidR="00711D3C">
        <w:rPr>
          <w:sz w:val="20"/>
          <w:szCs w:val="20"/>
        </w:rPr>
        <w:t xml:space="preserve">, </w:t>
      </w:r>
      <w:r w:rsidR="00B67E90">
        <w:rPr>
          <w:sz w:val="20"/>
          <w:szCs w:val="20"/>
        </w:rPr>
        <w:t xml:space="preserve">and </w:t>
      </w:r>
      <w:r w:rsidR="00772F0A" w:rsidRPr="002B2651">
        <w:rPr>
          <w:sz w:val="20"/>
          <w:szCs w:val="20"/>
        </w:rPr>
        <w:t xml:space="preserve">outlines an alternative notion of teaching-led research, developed out of the work of Boyer and Walter Benjamin, within which teaching might continue, in spite of excellence.  </w:t>
      </w:r>
    </w:p>
    <w:p w14:paraId="292EA5BE" w14:textId="77777777" w:rsidR="00471EE0" w:rsidRPr="002B2651" w:rsidRDefault="00471EE0" w:rsidP="00D9149F">
      <w:pPr>
        <w:pStyle w:val="NormalWeb"/>
        <w:shd w:val="clear" w:color="auto" w:fill="FFFFFF"/>
        <w:spacing w:before="0" w:beforeAutospacing="0" w:after="0" w:afterAutospacing="0" w:line="480" w:lineRule="auto"/>
        <w:textAlignment w:val="baseline"/>
        <w:rPr>
          <w:sz w:val="22"/>
          <w:szCs w:val="22"/>
        </w:rPr>
      </w:pPr>
    </w:p>
    <w:p w14:paraId="26049BDF" w14:textId="19DC73C9" w:rsidR="00471EE0" w:rsidRPr="002B2651" w:rsidRDefault="00471EE0" w:rsidP="00D9149F">
      <w:pPr>
        <w:pStyle w:val="NormalWeb"/>
        <w:shd w:val="clear" w:color="auto" w:fill="FFFFFF"/>
        <w:spacing w:before="0" w:beforeAutospacing="0" w:after="0" w:afterAutospacing="0" w:line="480" w:lineRule="auto"/>
        <w:textAlignment w:val="baseline"/>
        <w:rPr>
          <w:b/>
          <w:sz w:val="22"/>
          <w:szCs w:val="22"/>
        </w:rPr>
      </w:pPr>
      <w:r w:rsidRPr="002B2651">
        <w:rPr>
          <w:b/>
          <w:sz w:val="22"/>
          <w:szCs w:val="22"/>
        </w:rPr>
        <w:t>Keywords</w:t>
      </w:r>
    </w:p>
    <w:p w14:paraId="31198BD6" w14:textId="0F7FF2F7" w:rsidR="00471EE0" w:rsidRPr="002B2651" w:rsidRDefault="002E7042" w:rsidP="00D9149F">
      <w:pPr>
        <w:pStyle w:val="NormalWeb"/>
        <w:shd w:val="clear" w:color="auto" w:fill="FFFFFF"/>
        <w:spacing w:before="0" w:beforeAutospacing="0" w:after="0" w:afterAutospacing="0" w:line="480" w:lineRule="auto"/>
        <w:textAlignment w:val="baseline"/>
        <w:rPr>
          <w:sz w:val="20"/>
          <w:szCs w:val="20"/>
        </w:rPr>
      </w:pPr>
      <w:r w:rsidRPr="002B2651">
        <w:rPr>
          <w:sz w:val="20"/>
          <w:szCs w:val="20"/>
        </w:rPr>
        <w:t>Benjamin</w:t>
      </w:r>
      <w:r>
        <w:rPr>
          <w:sz w:val="20"/>
          <w:szCs w:val="20"/>
        </w:rPr>
        <w:t xml:space="preserve"> · Boyer · Human c</w:t>
      </w:r>
      <w:r w:rsidRPr="002B2651">
        <w:rPr>
          <w:sz w:val="20"/>
          <w:szCs w:val="20"/>
        </w:rPr>
        <w:t xml:space="preserve">apital · </w:t>
      </w:r>
      <w:r>
        <w:rPr>
          <w:sz w:val="20"/>
          <w:szCs w:val="20"/>
        </w:rPr>
        <w:t>Readings · Teaching excellence</w:t>
      </w:r>
      <w:r w:rsidRPr="002B2651">
        <w:rPr>
          <w:sz w:val="20"/>
          <w:szCs w:val="20"/>
        </w:rPr>
        <w:t xml:space="preserve"> ·</w:t>
      </w:r>
      <w:r>
        <w:rPr>
          <w:sz w:val="20"/>
          <w:szCs w:val="20"/>
        </w:rPr>
        <w:t xml:space="preserve"> </w:t>
      </w:r>
      <w:r w:rsidRPr="002B2651">
        <w:rPr>
          <w:sz w:val="20"/>
          <w:szCs w:val="20"/>
        </w:rPr>
        <w:t>Teaching-led Research</w:t>
      </w:r>
    </w:p>
    <w:p w14:paraId="1BB19B12" w14:textId="77777777" w:rsidR="00471EE0" w:rsidRPr="002B2651" w:rsidRDefault="00471EE0" w:rsidP="00D9149F">
      <w:pPr>
        <w:pStyle w:val="NormalWeb"/>
        <w:shd w:val="clear" w:color="auto" w:fill="FFFFFF"/>
        <w:spacing w:before="0" w:beforeAutospacing="0" w:after="0" w:afterAutospacing="0" w:line="480" w:lineRule="auto"/>
        <w:textAlignment w:val="baseline"/>
        <w:rPr>
          <w:color w:val="000000"/>
          <w:sz w:val="20"/>
          <w:szCs w:val="20"/>
          <w:shd w:val="clear" w:color="auto" w:fill="FFFFFF"/>
        </w:rPr>
      </w:pPr>
    </w:p>
    <w:p w14:paraId="4CD058AB" w14:textId="726A2D7D" w:rsidR="002708F2" w:rsidRPr="002B2651" w:rsidRDefault="00CB4E72" w:rsidP="00424F2B">
      <w:pPr>
        <w:pStyle w:val="NormalWeb"/>
        <w:shd w:val="clear" w:color="auto" w:fill="FFFFFF"/>
        <w:spacing w:before="0" w:beforeAutospacing="0" w:after="0" w:afterAutospacing="0" w:line="480" w:lineRule="auto"/>
        <w:textAlignment w:val="baseline"/>
        <w:rPr>
          <w:sz w:val="20"/>
          <w:szCs w:val="20"/>
        </w:rPr>
      </w:pPr>
      <w:r w:rsidRPr="002B2651">
        <w:rPr>
          <w:sz w:val="20"/>
          <w:szCs w:val="20"/>
        </w:rPr>
        <w:t>Although t</w:t>
      </w:r>
      <w:r w:rsidR="0046778D" w:rsidRPr="002B2651">
        <w:rPr>
          <w:sz w:val="20"/>
          <w:szCs w:val="20"/>
        </w:rPr>
        <w:t>h</w:t>
      </w:r>
      <w:r w:rsidRPr="002B2651">
        <w:rPr>
          <w:sz w:val="20"/>
          <w:szCs w:val="20"/>
        </w:rPr>
        <w:t xml:space="preserve">e </w:t>
      </w:r>
      <w:r w:rsidR="007C237B" w:rsidRPr="002B2651">
        <w:rPr>
          <w:sz w:val="20"/>
          <w:szCs w:val="20"/>
        </w:rPr>
        <w:t>importance</w:t>
      </w:r>
      <w:r w:rsidRPr="002B2651">
        <w:rPr>
          <w:sz w:val="20"/>
          <w:szCs w:val="20"/>
        </w:rPr>
        <w:t xml:space="preserve"> of teaching and</w:t>
      </w:r>
      <w:r w:rsidR="007C237B" w:rsidRPr="002B2651">
        <w:rPr>
          <w:sz w:val="20"/>
          <w:szCs w:val="20"/>
        </w:rPr>
        <w:t xml:space="preserve"> the pursuit</w:t>
      </w:r>
      <w:r w:rsidRPr="002B2651">
        <w:rPr>
          <w:sz w:val="20"/>
          <w:szCs w:val="20"/>
        </w:rPr>
        <w:t xml:space="preserve"> </w:t>
      </w:r>
      <w:r w:rsidR="007C237B" w:rsidRPr="002B2651">
        <w:rPr>
          <w:sz w:val="20"/>
          <w:szCs w:val="20"/>
        </w:rPr>
        <w:t xml:space="preserve">of </w:t>
      </w:r>
      <w:r w:rsidR="0046778D" w:rsidRPr="002B2651">
        <w:rPr>
          <w:sz w:val="20"/>
          <w:szCs w:val="20"/>
        </w:rPr>
        <w:t xml:space="preserve">teaching excellence </w:t>
      </w:r>
      <w:r w:rsidRPr="002B2651">
        <w:rPr>
          <w:sz w:val="20"/>
          <w:szCs w:val="20"/>
        </w:rPr>
        <w:t>ha</w:t>
      </w:r>
      <w:r w:rsidR="007C237B" w:rsidRPr="002B2651">
        <w:rPr>
          <w:sz w:val="20"/>
          <w:szCs w:val="20"/>
        </w:rPr>
        <w:t>ve</w:t>
      </w:r>
      <w:r w:rsidRPr="002B2651">
        <w:rPr>
          <w:sz w:val="20"/>
          <w:szCs w:val="20"/>
        </w:rPr>
        <w:t xml:space="preserve"> </w:t>
      </w:r>
      <w:r w:rsidR="007C237B" w:rsidRPr="002B2651">
        <w:rPr>
          <w:sz w:val="20"/>
          <w:szCs w:val="20"/>
        </w:rPr>
        <w:t xml:space="preserve">regularly </w:t>
      </w:r>
      <w:r w:rsidRPr="002B2651">
        <w:rPr>
          <w:sz w:val="20"/>
          <w:szCs w:val="20"/>
        </w:rPr>
        <w:t xml:space="preserve">been deployed to justify reforms to </w:t>
      </w:r>
      <w:r w:rsidR="003F1A8C" w:rsidRPr="002B2651">
        <w:rPr>
          <w:sz w:val="20"/>
          <w:szCs w:val="20"/>
        </w:rPr>
        <w:t>higher education over</w:t>
      </w:r>
      <w:r w:rsidR="00B04BB2" w:rsidRPr="002B2651">
        <w:rPr>
          <w:sz w:val="20"/>
          <w:szCs w:val="20"/>
        </w:rPr>
        <w:t xml:space="preserve"> </w:t>
      </w:r>
      <w:r w:rsidR="003F1A8C" w:rsidRPr="002B2651">
        <w:rPr>
          <w:sz w:val="20"/>
          <w:szCs w:val="20"/>
        </w:rPr>
        <w:t>the last four</w:t>
      </w:r>
      <w:r w:rsidR="007C237B" w:rsidRPr="002B2651">
        <w:rPr>
          <w:sz w:val="20"/>
          <w:szCs w:val="20"/>
        </w:rPr>
        <w:t xml:space="preserve"> decades, they are</w:t>
      </w:r>
      <w:r w:rsidR="000361E7" w:rsidRPr="002B2651">
        <w:rPr>
          <w:sz w:val="20"/>
          <w:szCs w:val="20"/>
        </w:rPr>
        <w:t xml:space="preserve"> receiv</w:t>
      </w:r>
      <w:r w:rsidR="003A1A05" w:rsidRPr="002B2651">
        <w:rPr>
          <w:sz w:val="20"/>
          <w:szCs w:val="20"/>
        </w:rPr>
        <w:t>ing</w:t>
      </w:r>
      <w:r w:rsidR="000361E7" w:rsidRPr="002B2651">
        <w:rPr>
          <w:sz w:val="20"/>
          <w:szCs w:val="20"/>
        </w:rPr>
        <w:t xml:space="preserve"> renewed </w:t>
      </w:r>
      <w:r w:rsidR="0046778D" w:rsidRPr="002B2651">
        <w:rPr>
          <w:sz w:val="20"/>
          <w:szCs w:val="20"/>
        </w:rPr>
        <w:t xml:space="preserve">attention </w:t>
      </w:r>
      <w:proofErr w:type="gramStart"/>
      <w:r w:rsidR="0046778D" w:rsidRPr="002B2651">
        <w:rPr>
          <w:sz w:val="20"/>
          <w:szCs w:val="20"/>
        </w:rPr>
        <w:t>as a result</w:t>
      </w:r>
      <w:proofErr w:type="gramEnd"/>
      <w:r w:rsidR="0046778D" w:rsidRPr="002B2651">
        <w:rPr>
          <w:sz w:val="20"/>
          <w:szCs w:val="20"/>
        </w:rPr>
        <w:t xml:space="preserve"> of t</w:t>
      </w:r>
      <w:r w:rsidR="00B04BB2" w:rsidRPr="002B2651">
        <w:rPr>
          <w:sz w:val="20"/>
          <w:szCs w:val="20"/>
        </w:rPr>
        <w:t xml:space="preserve">he </w:t>
      </w:r>
      <w:r w:rsidR="000361E7" w:rsidRPr="002B2651">
        <w:rPr>
          <w:sz w:val="20"/>
          <w:szCs w:val="20"/>
        </w:rPr>
        <w:t>introduction of th</w:t>
      </w:r>
      <w:r w:rsidR="00441C94" w:rsidRPr="002B2651">
        <w:rPr>
          <w:sz w:val="20"/>
          <w:szCs w:val="20"/>
        </w:rPr>
        <w:t>e Teaching Excellence Framework (TEF)</w:t>
      </w:r>
      <w:r w:rsidR="006A3620" w:rsidRPr="002B2651">
        <w:rPr>
          <w:sz w:val="20"/>
          <w:szCs w:val="20"/>
        </w:rPr>
        <w:t xml:space="preserve"> </w:t>
      </w:r>
      <w:r w:rsidR="00374945">
        <w:rPr>
          <w:sz w:val="20"/>
          <w:szCs w:val="20"/>
        </w:rPr>
        <w:t xml:space="preserve">recently </w:t>
      </w:r>
      <w:r w:rsidR="006A3620" w:rsidRPr="002B2651">
        <w:rPr>
          <w:sz w:val="20"/>
          <w:szCs w:val="20"/>
        </w:rPr>
        <w:t xml:space="preserve">imposed on </w:t>
      </w:r>
      <w:r w:rsidR="007C237B" w:rsidRPr="002B2651">
        <w:rPr>
          <w:sz w:val="20"/>
          <w:szCs w:val="20"/>
        </w:rPr>
        <w:t>English universities</w:t>
      </w:r>
      <w:r w:rsidR="004321EA" w:rsidRPr="002B2651">
        <w:rPr>
          <w:sz w:val="20"/>
          <w:szCs w:val="20"/>
        </w:rPr>
        <w:t>.</w:t>
      </w:r>
      <w:r w:rsidR="00C22D4C" w:rsidRPr="002B2651">
        <w:rPr>
          <w:sz w:val="20"/>
          <w:szCs w:val="20"/>
        </w:rPr>
        <w:t xml:space="preserve"> </w:t>
      </w:r>
      <w:r w:rsidR="0046778D" w:rsidRPr="002B2651">
        <w:rPr>
          <w:sz w:val="20"/>
          <w:szCs w:val="20"/>
        </w:rPr>
        <w:t xml:space="preserve">The TEF is part of an ongoing </w:t>
      </w:r>
      <w:r w:rsidR="0081363C" w:rsidRPr="002B2651">
        <w:rPr>
          <w:sz w:val="20"/>
          <w:szCs w:val="20"/>
        </w:rPr>
        <w:t xml:space="preserve">and controversial </w:t>
      </w:r>
      <w:r w:rsidR="0046778D" w:rsidRPr="002B2651">
        <w:rPr>
          <w:sz w:val="20"/>
          <w:szCs w:val="20"/>
        </w:rPr>
        <w:t xml:space="preserve">raft of </w:t>
      </w:r>
      <w:r w:rsidR="007C237B" w:rsidRPr="002B2651">
        <w:rPr>
          <w:sz w:val="20"/>
          <w:szCs w:val="20"/>
        </w:rPr>
        <w:t xml:space="preserve">larger </w:t>
      </w:r>
      <w:r w:rsidR="0046778D" w:rsidRPr="002B2651">
        <w:rPr>
          <w:sz w:val="20"/>
          <w:szCs w:val="20"/>
        </w:rPr>
        <w:t xml:space="preserve">reforms of the English system of higher education that </w:t>
      </w:r>
      <w:r w:rsidR="007C237B" w:rsidRPr="002B2651">
        <w:rPr>
          <w:sz w:val="20"/>
          <w:szCs w:val="20"/>
        </w:rPr>
        <w:t>have</w:t>
      </w:r>
      <w:r w:rsidR="0046778D" w:rsidRPr="002B2651">
        <w:rPr>
          <w:sz w:val="20"/>
          <w:szCs w:val="20"/>
        </w:rPr>
        <w:t xml:space="preserve"> been justified by a vision of </w:t>
      </w:r>
      <w:r w:rsidR="00C22D4C" w:rsidRPr="002B2651">
        <w:rPr>
          <w:sz w:val="20"/>
          <w:szCs w:val="20"/>
        </w:rPr>
        <w:t>‘</w:t>
      </w:r>
      <w:r w:rsidR="004321EA" w:rsidRPr="002B2651">
        <w:rPr>
          <w:sz w:val="20"/>
          <w:szCs w:val="20"/>
        </w:rPr>
        <w:t>W</w:t>
      </w:r>
      <w:r w:rsidR="00C22D4C" w:rsidRPr="002B2651">
        <w:rPr>
          <w:sz w:val="20"/>
          <w:szCs w:val="20"/>
        </w:rPr>
        <w:t>ell-informed students driving teaching excellence</w:t>
      </w:r>
      <w:r w:rsidR="004321EA" w:rsidRPr="002B2651">
        <w:rPr>
          <w:sz w:val="20"/>
          <w:szCs w:val="20"/>
        </w:rPr>
        <w:t>’</w:t>
      </w:r>
      <w:r w:rsidR="0046778D" w:rsidRPr="002B2651">
        <w:rPr>
          <w:sz w:val="20"/>
          <w:szCs w:val="20"/>
        </w:rPr>
        <w:t xml:space="preserve"> and </w:t>
      </w:r>
      <w:r w:rsidR="004321EA" w:rsidRPr="002B2651">
        <w:rPr>
          <w:sz w:val="20"/>
          <w:szCs w:val="20"/>
        </w:rPr>
        <w:t>‘p</w:t>
      </w:r>
      <w:r w:rsidR="00C22D4C" w:rsidRPr="002B2651">
        <w:rPr>
          <w:sz w:val="20"/>
          <w:szCs w:val="20"/>
        </w:rPr>
        <w:t>ut</w:t>
      </w:r>
      <w:r w:rsidR="004321EA" w:rsidRPr="002B2651">
        <w:rPr>
          <w:sz w:val="20"/>
          <w:szCs w:val="20"/>
        </w:rPr>
        <w:t>[ting]</w:t>
      </w:r>
      <w:r w:rsidR="00C22D4C" w:rsidRPr="002B2651">
        <w:rPr>
          <w:sz w:val="20"/>
          <w:szCs w:val="20"/>
        </w:rPr>
        <w:t xml:space="preserve"> excellent teaching back at the heart of every student’s university experience’</w:t>
      </w:r>
      <w:r w:rsidR="004321EA" w:rsidRPr="002B2651">
        <w:rPr>
          <w:sz w:val="20"/>
          <w:szCs w:val="20"/>
        </w:rPr>
        <w:t xml:space="preserve"> (BIS 2011, 25-27).</w:t>
      </w:r>
      <w:r w:rsidR="00AE66A3" w:rsidRPr="002B2651">
        <w:rPr>
          <w:sz w:val="20"/>
          <w:szCs w:val="20"/>
        </w:rPr>
        <w:t xml:space="preserve"> </w:t>
      </w:r>
      <w:r w:rsidR="0046778D" w:rsidRPr="002B2651">
        <w:rPr>
          <w:sz w:val="20"/>
          <w:szCs w:val="20"/>
        </w:rPr>
        <w:t>W</w:t>
      </w:r>
      <w:r w:rsidR="004321EA" w:rsidRPr="002B2651">
        <w:rPr>
          <w:sz w:val="20"/>
          <w:szCs w:val="20"/>
        </w:rPr>
        <w:t>hile the government argues</w:t>
      </w:r>
      <w:r w:rsidR="0046778D" w:rsidRPr="002B2651">
        <w:rPr>
          <w:sz w:val="20"/>
          <w:szCs w:val="20"/>
        </w:rPr>
        <w:t xml:space="preserve"> that </w:t>
      </w:r>
      <w:r w:rsidR="004321EA" w:rsidRPr="002B2651">
        <w:rPr>
          <w:sz w:val="20"/>
          <w:szCs w:val="20"/>
        </w:rPr>
        <w:t>‘there is a need to provide greater clarity about what we are looking for</w:t>
      </w:r>
      <w:r w:rsidR="0046778D" w:rsidRPr="002B2651">
        <w:rPr>
          <w:sz w:val="20"/>
          <w:szCs w:val="20"/>
        </w:rPr>
        <w:t xml:space="preserve"> [in the TEF]</w:t>
      </w:r>
      <w:r w:rsidR="004321EA" w:rsidRPr="002B2651">
        <w:rPr>
          <w:sz w:val="20"/>
          <w:szCs w:val="20"/>
        </w:rPr>
        <w:t xml:space="preserve"> and how we </w:t>
      </w:r>
      <w:r w:rsidR="004321EA" w:rsidRPr="002B2651">
        <w:rPr>
          <w:sz w:val="20"/>
          <w:szCs w:val="20"/>
        </w:rPr>
        <w:lastRenderedPageBreak/>
        <w:t>intended to measure it,’</w:t>
      </w:r>
      <w:r w:rsidR="002708F2" w:rsidRPr="002B2651">
        <w:rPr>
          <w:rStyle w:val="FootnoteReference"/>
          <w:sz w:val="20"/>
          <w:szCs w:val="20"/>
        </w:rPr>
        <w:footnoteReference w:id="1"/>
      </w:r>
      <w:r w:rsidR="004321EA" w:rsidRPr="002B2651">
        <w:rPr>
          <w:sz w:val="20"/>
          <w:szCs w:val="20"/>
        </w:rPr>
        <w:t xml:space="preserve"> it concedes</w:t>
      </w:r>
      <w:r w:rsidR="007C237B" w:rsidRPr="002B2651">
        <w:rPr>
          <w:sz w:val="20"/>
          <w:szCs w:val="20"/>
        </w:rPr>
        <w:t xml:space="preserve"> that</w:t>
      </w:r>
      <w:r w:rsidR="004321EA" w:rsidRPr="002B2651">
        <w:rPr>
          <w:sz w:val="20"/>
          <w:szCs w:val="20"/>
        </w:rPr>
        <w:t xml:space="preserve"> ‘there is no one broadly accepted definition of “teaching excellence”’ (BIS 2015, 18, 21).</w:t>
      </w:r>
      <w:r w:rsidR="00027BDE" w:rsidRPr="002B2651">
        <w:rPr>
          <w:sz w:val="20"/>
          <w:szCs w:val="20"/>
        </w:rPr>
        <w:t xml:space="preserve"> </w:t>
      </w:r>
    </w:p>
    <w:p w14:paraId="76E279B5" w14:textId="77777777" w:rsidR="002708F2" w:rsidRPr="002B2651" w:rsidRDefault="002708F2" w:rsidP="00424F2B">
      <w:pPr>
        <w:pStyle w:val="NormalWeb"/>
        <w:shd w:val="clear" w:color="auto" w:fill="FFFFFF"/>
        <w:spacing w:before="0" w:beforeAutospacing="0" w:after="0" w:afterAutospacing="0" w:line="480" w:lineRule="auto"/>
        <w:textAlignment w:val="baseline"/>
        <w:rPr>
          <w:sz w:val="20"/>
          <w:szCs w:val="20"/>
        </w:rPr>
      </w:pPr>
    </w:p>
    <w:p w14:paraId="13EA1C56" w14:textId="37E50D74" w:rsidR="006E312A" w:rsidRPr="0025310B" w:rsidRDefault="0009771F" w:rsidP="00424F2B">
      <w:pPr>
        <w:pStyle w:val="NormalWeb"/>
        <w:shd w:val="clear" w:color="auto" w:fill="FFFFFF"/>
        <w:spacing w:before="0" w:beforeAutospacing="0" w:after="0" w:afterAutospacing="0" w:line="480" w:lineRule="auto"/>
        <w:textAlignment w:val="baseline"/>
      </w:pPr>
      <w:r w:rsidRPr="002B2651">
        <w:rPr>
          <w:sz w:val="20"/>
          <w:szCs w:val="20"/>
        </w:rPr>
        <w:t>Rather than offering a plurality of definitions,</w:t>
      </w:r>
      <w:r w:rsidR="00A664D9" w:rsidRPr="002B2651">
        <w:rPr>
          <w:sz w:val="20"/>
          <w:szCs w:val="20"/>
        </w:rPr>
        <w:t xml:space="preserve"> however,</w:t>
      </w:r>
      <w:r w:rsidRPr="002B2651">
        <w:rPr>
          <w:sz w:val="20"/>
          <w:szCs w:val="20"/>
        </w:rPr>
        <w:t xml:space="preserve"> t</w:t>
      </w:r>
      <w:r w:rsidR="00027BDE" w:rsidRPr="002B2651">
        <w:rPr>
          <w:sz w:val="20"/>
          <w:szCs w:val="20"/>
        </w:rPr>
        <w:t>ea</w:t>
      </w:r>
      <w:r w:rsidR="0046778D" w:rsidRPr="002B2651">
        <w:rPr>
          <w:sz w:val="20"/>
          <w:szCs w:val="20"/>
        </w:rPr>
        <w:t xml:space="preserve">ching excellence </w:t>
      </w:r>
      <w:proofErr w:type="gramStart"/>
      <w:r w:rsidR="0046778D" w:rsidRPr="002B2651">
        <w:rPr>
          <w:sz w:val="20"/>
          <w:szCs w:val="20"/>
        </w:rPr>
        <w:t>has been repeatedly</w:t>
      </w:r>
      <w:r w:rsidR="00027BDE" w:rsidRPr="002B2651">
        <w:rPr>
          <w:sz w:val="20"/>
          <w:szCs w:val="20"/>
        </w:rPr>
        <w:t xml:space="preserve"> </w:t>
      </w:r>
      <w:r w:rsidR="0046778D" w:rsidRPr="002B2651">
        <w:rPr>
          <w:sz w:val="20"/>
          <w:szCs w:val="20"/>
        </w:rPr>
        <w:t>left</w:t>
      </w:r>
      <w:proofErr w:type="gramEnd"/>
      <w:r w:rsidR="0046778D" w:rsidRPr="002B2651">
        <w:rPr>
          <w:sz w:val="20"/>
          <w:szCs w:val="20"/>
        </w:rPr>
        <w:t xml:space="preserve"> undefined</w:t>
      </w:r>
      <w:r w:rsidR="00A664D9" w:rsidRPr="002B2651">
        <w:rPr>
          <w:sz w:val="20"/>
          <w:szCs w:val="20"/>
        </w:rPr>
        <w:t xml:space="preserve"> in </w:t>
      </w:r>
      <w:r w:rsidR="002E7042">
        <w:rPr>
          <w:sz w:val="20"/>
          <w:szCs w:val="20"/>
        </w:rPr>
        <w:t xml:space="preserve">such </w:t>
      </w:r>
      <w:r w:rsidR="00A664D9" w:rsidRPr="002B2651">
        <w:rPr>
          <w:sz w:val="20"/>
          <w:szCs w:val="20"/>
        </w:rPr>
        <w:t>documents</w:t>
      </w:r>
      <w:r w:rsidR="002272D8" w:rsidRPr="002B2651">
        <w:rPr>
          <w:sz w:val="20"/>
          <w:szCs w:val="20"/>
        </w:rPr>
        <w:t>.</w:t>
      </w:r>
      <w:r w:rsidR="00374945">
        <w:rPr>
          <w:sz w:val="20"/>
          <w:szCs w:val="20"/>
        </w:rPr>
        <w:t xml:space="preserve"> </w:t>
      </w:r>
      <w:proofErr w:type="gramStart"/>
      <w:r w:rsidR="0025310B">
        <w:rPr>
          <w:sz w:val="20"/>
          <w:szCs w:val="20"/>
        </w:rPr>
        <w:t>T</w:t>
      </w:r>
      <w:r w:rsidR="002272D8" w:rsidRPr="002B2651">
        <w:rPr>
          <w:sz w:val="20"/>
          <w:szCs w:val="20"/>
        </w:rPr>
        <w:t xml:space="preserve">he 2016 </w:t>
      </w:r>
      <w:r w:rsidR="00C55448" w:rsidRPr="002B2651">
        <w:rPr>
          <w:sz w:val="20"/>
          <w:szCs w:val="20"/>
        </w:rPr>
        <w:t xml:space="preserve">White Paper, </w:t>
      </w:r>
      <w:r w:rsidR="00C55448" w:rsidRPr="002B2651">
        <w:rPr>
          <w:i/>
          <w:sz w:val="20"/>
          <w:szCs w:val="20"/>
        </w:rPr>
        <w:t xml:space="preserve">Success as a Knowledge Economy: Teaching Excellence, Social Mobility and Student Choice </w:t>
      </w:r>
      <w:r w:rsidR="00C55448" w:rsidRPr="002B2651">
        <w:rPr>
          <w:sz w:val="20"/>
          <w:szCs w:val="20"/>
        </w:rPr>
        <w:t>(BIS 2016, 43), proposes to take ‘a broad view of teaching excellence, including the teaching itself, the learning environments in which it takes place, and the outcomes it delivers,’ and includes ‘the “soft skills” that employers consistently say they need …capacity for critical thinking, analysis and teamwork, along with the vital development of a student’s ability to learn’, but gives no indication what would constitute excellence in teaching these skills.</w:t>
      </w:r>
      <w:r w:rsidR="00580B55" w:rsidRPr="002B2651">
        <w:rPr>
          <w:rStyle w:val="FootnoteReference"/>
          <w:sz w:val="20"/>
          <w:szCs w:val="20"/>
        </w:rPr>
        <w:footnoteReference w:id="2"/>
      </w:r>
      <w:proofErr w:type="gramEnd"/>
      <w:r w:rsidR="00C55448" w:rsidRPr="002B2651">
        <w:rPr>
          <w:sz w:val="20"/>
          <w:szCs w:val="20"/>
        </w:rPr>
        <w:t xml:space="preserve"> </w:t>
      </w:r>
      <w:r w:rsidR="0025310B">
        <w:rPr>
          <w:sz w:val="20"/>
          <w:szCs w:val="20"/>
        </w:rPr>
        <w:t>Confusingly, w</w:t>
      </w:r>
      <w:r w:rsidR="0025310B" w:rsidRPr="0025310B">
        <w:rPr>
          <w:sz w:val="20"/>
          <w:szCs w:val="20"/>
        </w:rPr>
        <w:t xml:space="preserve">hile initial proposals for the ranking of institutions considered a rating of </w:t>
      </w:r>
      <w:r w:rsidR="009B4293">
        <w:rPr>
          <w:sz w:val="20"/>
          <w:szCs w:val="20"/>
        </w:rPr>
        <w:t>‘</w:t>
      </w:r>
      <w:r w:rsidR="0025310B" w:rsidRPr="009B4293">
        <w:rPr>
          <w:sz w:val="20"/>
          <w:szCs w:val="20"/>
        </w:rPr>
        <w:t>excellent</w:t>
      </w:r>
      <w:r w:rsidR="009B4293">
        <w:rPr>
          <w:sz w:val="20"/>
          <w:szCs w:val="20"/>
        </w:rPr>
        <w:t>’</w:t>
      </w:r>
      <w:r w:rsidR="0025310B" w:rsidRPr="0025310B">
        <w:rPr>
          <w:sz w:val="20"/>
          <w:szCs w:val="20"/>
        </w:rPr>
        <w:t xml:space="preserve"> </w:t>
      </w:r>
      <w:r w:rsidR="009B4293">
        <w:rPr>
          <w:sz w:val="20"/>
          <w:szCs w:val="20"/>
        </w:rPr>
        <w:t xml:space="preserve">to be </w:t>
      </w:r>
      <w:r w:rsidR="0025310B" w:rsidRPr="0025310B">
        <w:rPr>
          <w:sz w:val="20"/>
          <w:szCs w:val="20"/>
        </w:rPr>
        <w:t xml:space="preserve">less excellent than </w:t>
      </w:r>
      <w:r w:rsidR="009B4293">
        <w:rPr>
          <w:sz w:val="20"/>
          <w:szCs w:val="20"/>
        </w:rPr>
        <w:t>‘</w:t>
      </w:r>
      <w:r w:rsidR="0025310B" w:rsidRPr="009B4293">
        <w:rPr>
          <w:sz w:val="20"/>
          <w:szCs w:val="20"/>
        </w:rPr>
        <w:t>outstanding</w:t>
      </w:r>
      <w:r w:rsidR="009B4293">
        <w:rPr>
          <w:sz w:val="20"/>
          <w:szCs w:val="20"/>
        </w:rPr>
        <w:t>,’</w:t>
      </w:r>
      <w:r w:rsidR="0025310B" w:rsidRPr="0025310B">
        <w:rPr>
          <w:sz w:val="20"/>
          <w:szCs w:val="20"/>
        </w:rPr>
        <w:t xml:space="preserve"> the l</w:t>
      </w:r>
      <w:r w:rsidR="009B4293">
        <w:rPr>
          <w:sz w:val="20"/>
          <w:szCs w:val="20"/>
        </w:rPr>
        <w:t xml:space="preserve">atest specifications will now have three ‘levels of excellence’ designated as </w:t>
      </w:r>
      <w:r w:rsidR="0025310B" w:rsidRPr="0025310B">
        <w:rPr>
          <w:sz w:val="20"/>
          <w:szCs w:val="20"/>
        </w:rPr>
        <w:t>bronze,</w:t>
      </w:r>
      <w:r w:rsidR="009B4293">
        <w:rPr>
          <w:sz w:val="20"/>
          <w:szCs w:val="20"/>
        </w:rPr>
        <w:t xml:space="preserve"> silver and gold (</w:t>
      </w:r>
      <w:r w:rsidR="0025310B" w:rsidRPr="0025310B">
        <w:rPr>
          <w:sz w:val="20"/>
          <w:szCs w:val="20"/>
        </w:rPr>
        <w:t>DOE 2016</w:t>
      </w:r>
      <w:r w:rsidR="003F021C">
        <w:rPr>
          <w:sz w:val="20"/>
          <w:szCs w:val="20"/>
        </w:rPr>
        <w:t>a</w:t>
      </w:r>
      <w:r w:rsidR="0025310B" w:rsidRPr="0025310B">
        <w:rPr>
          <w:sz w:val="20"/>
          <w:szCs w:val="20"/>
        </w:rPr>
        <w:t>, 23</w:t>
      </w:r>
      <w:r w:rsidR="003F021C">
        <w:rPr>
          <w:sz w:val="20"/>
          <w:szCs w:val="20"/>
        </w:rPr>
        <w:t>; DOE 2016b, 34</w:t>
      </w:r>
      <w:r w:rsidR="0025310B" w:rsidRPr="0025310B">
        <w:rPr>
          <w:sz w:val="20"/>
          <w:szCs w:val="20"/>
        </w:rPr>
        <w:t>).</w:t>
      </w:r>
    </w:p>
    <w:p w14:paraId="66AF48C3" w14:textId="77777777" w:rsidR="00AE66A3" w:rsidRPr="002B2651" w:rsidRDefault="00AE66A3" w:rsidP="00424F2B">
      <w:pPr>
        <w:pStyle w:val="NormalWeb"/>
        <w:shd w:val="clear" w:color="auto" w:fill="FFFFFF"/>
        <w:spacing w:before="0" w:beforeAutospacing="0" w:after="0" w:afterAutospacing="0" w:line="480" w:lineRule="auto"/>
        <w:textAlignment w:val="baseline"/>
        <w:rPr>
          <w:sz w:val="20"/>
          <w:szCs w:val="20"/>
        </w:rPr>
      </w:pPr>
    </w:p>
    <w:p w14:paraId="54E2D8D1" w14:textId="54F47D35" w:rsidR="008446D9" w:rsidRPr="002B2651" w:rsidRDefault="008446D9" w:rsidP="008446D9">
      <w:pPr>
        <w:pStyle w:val="NormalWeb"/>
        <w:shd w:val="clear" w:color="auto" w:fill="FFFFFF"/>
        <w:spacing w:before="0" w:beforeAutospacing="0" w:after="0" w:afterAutospacing="0" w:line="480" w:lineRule="auto"/>
        <w:textAlignment w:val="baseline"/>
        <w:rPr>
          <w:sz w:val="20"/>
          <w:szCs w:val="20"/>
        </w:rPr>
      </w:pPr>
      <w:r w:rsidRPr="002B2651">
        <w:rPr>
          <w:sz w:val="20"/>
          <w:szCs w:val="20"/>
        </w:rPr>
        <w:t xml:space="preserve">Over a decade ago, Skelton (2005, 3-7) </w:t>
      </w:r>
      <w:r w:rsidR="007D0B5E" w:rsidRPr="002B2651">
        <w:rPr>
          <w:sz w:val="20"/>
          <w:szCs w:val="20"/>
        </w:rPr>
        <w:t xml:space="preserve">had already </w:t>
      </w:r>
      <w:r w:rsidRPr="002B2651">
        <w:rPr>
          <w:sz w:val="20"/>
          <w:szCs w:val="20"/>
        </w:rPr>
        <w:t xml:space="preserve">pointed out that ‘teaching excellence is now part of the everyday language and practice of higher education,’ </w:t>
      </w:r>
      <w:r w:rsidR="002272D8" w:rsidRPr="002B2651">
        <w:rPr>
          <w:sz w:val="20"/>
          <w:szCs w:val="20"/>
        </w:rPr>
        <w:t>but</w:t>
      </w:r>
      <w:r w:rsidRPr="002B2651">
        <w:rPr>
          <w:sz w:val="20"/>
          <w:szCs w:val="20"/>
        </w:rPr>
        <w:t xml:space="preserve"> </w:t>
      </w:r>
      <w:proofErr w:type="gramStart"/>
      <w:r w:rsidRPr="002B2651">
        <w:rPr>
          <w:sz w:val="20"/>
          <w:szCs w:val="20"/>
        </w:rPr>
        <w:t>questioned</w:t>
      </w:r>
      <w:proofErr w:type="gramEnd"/>
      <w:r w:rsidRPr="002B2651">
        <w:rPr>
          <w:sz w:val="20"/>
          <w:szCs w:val="20"/>
        </w:rPr>
        <w:t xml:space="preserve"> whether it ‘can become a valuable and meaningful concept rather than a technical and bureaucratic concern which offers no direction and “has no content”.’ Skelton </w:t>
      </w:r>
      <w:r w:rsidR="00AE4E8D" w:rsidRPr="002B2651">
        <w:rPr>
          <w:sz w:val="20"/>
          <w:szCs w:val="20"/>
        </w:rPr>
        <w:t>drew</w:t>
      </w:r>
      <w:r w:rsidRPr="002B2651">
        <w:rPr>
          <w:sz w:val="20"/>
          <w:szCs w:val="20"/>
        </w:rPr>
        <w:t xml:space="preserve"> on Bill Readings’ (1996, 27) critical analysis</w:t>
      </w:r>
      <w:r w:rsidRPr="002B2651">
        <w:rPr>
          <w:i/>
          <w:sz w:val="20"/>
          <w:szCs w:val="20"/>
        </w:rPr>
        <w:t xml:space="preserve"> </w:t>
      </w:r>
      <w:r w:rsidRPr="002B2651">
        <w:rPr>
          <w:sz w:val="20"/>
          <w:szCs w:val="20"/>
        </w:rPr>
        <w:t xml:space="preserve">of the more general rise of the rhetoric of excellence within American higher education, which notes how the term’s flexibility – since excellence is valued by everyone, even if everyone has a different understanding of what </w:t>
      </w:r>
      <w:r w:rsidR="002272D8" w:rsidRPr="002B2651">
        <w:rPr>
          <w:sz w:val="20"/>
          <w:szCs w:val="20"/>
        </w:rPr>
        <w:t xml:space="preserve">constitutes excellence – permits </w:t>
      </w:r>
      <w:r w:rsidRPr="002B2651">
        <w:rPr>
          <w:sz w:val="20"/>
          <w:szCs w:val="20"/>
        </w:rPr>
        <w:t xml:space="preserve">those employing it to allow ‘a category mistake to masquerade as scientific objectivity.’ According to Readings (1996, 29), the ‘notion of excellence, functioning less to permit visual observation than to permit exhaustive </w:t>
      </w:r>
      <w:proofErr w:type="gramStart"/>
      <w:r w:rsidRPr="002B2651">
        <w:rPr>
          <w:sz w:val="20"/>
          <w:szCs w:val="20"/>
        </w:rPr>
        <w:lastRenderedPageBreak/>
        <w:t>accounting</w:t>
      </w:r>
      <w:proofErr w:type="gramEnd"/>
      <w:r w:rsidRPr="002B2651">
        <w:rPr>
          <w:sz w:val="20"/>
          <w:szCs w:val="20"/>
        </w:rPr>
        <w:t xml:space="preserve">,’ therefore ‘works to tie the University into a similar net of bureaucratic institutions …to allow the University to understand itself solely in terms of the structure of corporate administration.’  </w:t>
      </w:r>
    </w:p>
    <w:p w14:paraId="026EC76F" w14:textId="77777777" w:rsidR="002708F2" w:rsidRPr="002B2651" w:rsidRDefault="002708F2" w:rsidP="008446D9">
      <w:pPr>
        <w:pStyle w:val="NormalWeb"/>
        <w:shd w:val="clear" w:color="auto" w:fill="FFFFFF"/>
        <w:spacing w:before="0" w:beforeAutospacing="0" w:after="0" w:afterAutospacing="0" w:line="480" w:lineRule="auto"/>
        <w:textAlignment w:val="baseline"/>
        <w:rPr>
          <w:sz w:val="20"/>
          <w:szCs w:val="20"/>
        </w:rPr>
      </w:pPr>
    </w:p>
    <w:p w14:paraId="7B6D7D99" w14:textId="70325E82" w:rsidR="002708F2" w:rsidRPr="002B2651" w:rsidRDefault="002708F2" w:rsidP="002708F2">
      <w:pPr>
        <w:pStyle w:val="NormalWeb"/>
        <w:shd w:val="clear" w:color="auto" w:fill="FFFFFF"/>
        <w:spacing w:before="0" w:beforeAutospacing="0" w:after="0" w:afterAutospacing="0" w:line="480" w:lineRule="auto"/>
        <w:textAlignment w:val="baseline"/>
        <w:rPr>
          <w:sz w:val="20"/>
          <w:szCs w:val="20"/>
        </w:rPr>
      </w:pPr>
      <w:r w:rsidRPr="002B2651">
        <w:rPr>
          <w:sz w:val="20"/>
          <w:szCs w:val="20"/>
        </w:rPr>
        <w:t>From this perspective, the lack of a precise defin</w:t>
      </w:r>
      <w:r w:rsidR="00903864" w:rsidRPr="002B2651">
        <w:rPr>
          <w:sz w:val="20"/>
          <w:szCs w:val="20"/>
        </w:rPr>
        <w:t xml:space="preserve">ition of excellence in teaching, </w:t>
      </w:r>
      <w:r w:rsidRPr="002B2651">
        <w:rPr>
          <w:sz w:val="20"/>
          <w:szCs w:val="20"/>
        </w:rPr>
        <w:t>and the choice of metrics and incentives that seem unrelated or even in cont</w:t>
      </w:r>
      <w:r w:rsidR="00903864" w:rsidRPr="002B2651">
        <w:rPr>
          <w:sz w:val="20"/>
          <w:szCs w:val="20"/>
        </w:rPr>
        <w:t>radiction with quality practice,</w:t>
      </w:r>
      <w:r w:rsidR="007D0B5E" w:rsidRPr="002B2651">
        <w:rPr>
          <w:sz w:val="20"/>
          <w:szCs w:val="20"/>
          <w:vertAlign w:val="superscript"/>
        </w:rPr>
        <w:footnoteReference w:id="3"/>
      </w:r>
      <w:r w:rsidR="007D0B5E" w:rsidRPr="002B2651">
        <w:rPr>
          <w:sz w:val="20"/>
          <w:szCs w:val="20"/>
        </w:rPr>
        <w:t xml:space="preserve"> </w:t>
      </w:r>
      <w:r w:rsidRPr="002B2651">
        <w:rPr>
          <w:sz w:val="20"/>
          <w:szCs w:val="20"/>
        </w:rPr>
        <w:t>are not accidental, since teaching excellence is not designed to observe teaching but to permit a system of accounting.</w:t>
      </w:r>
      <w:r w:rsidR="00903864" w:rsidRPr="002B2651">
        <w:rPr>
          <w:sz w:val="20"/>
          <w:szCs w:val="20"/>
        </w:rPr>
        <w:t xml:space="preserve"> </w:t>
      </w:r>
      <w:proofErr w:type="gramStart"/>
      <w:r w:rsidRPr="002B2651">
        <w:rPr>
          <w:sz w:val="20"/>
          <w:szCs w:val="20"/>
        </w:rPr>
        <w:t xml:space="preserve">In this sense, the rhetoric of excellence is flexible enough to permit the integration of local diversity between different kinds of educational providers – key for the introduction of </w:t>
      </w:r>
      <w:r w:rsidR="007D0B5E" w:rsidRPr="002B2651">
        <w:rPr>
          <w:sz w:val="20"/>
          <w:szCs w:val="20"/>
        </w:rPr>
        <w:t xml:space="preserve">more </w:t>
      </w:r>
      <w:r w:rsidRPr="002B2651">
        <w:rPr>
          <w:sz w:val="20"/>
          <w:szCs w:val="20"/>
        </w:rPr>
        <w:t xml:space="preserve">alternative, private providers – into the unity of a system regulated primarily, </w:t>
      </w:r>
      <w:r w:rsidR="00A42D58" w:rsidRPr="002B2651">
        <w:rPr>
          <w:sz w:val="20"/>
          <w:szCs w:val="20"/>
        </w:rPr>
        <w:t xml:space="preserve">as </w:t>
      </w:r>
      <w:r w:rsidRPr="002B2651">
        <w:rPr>
          <w:sz w:val="20"/>
          <w:szCs w:val="20"/>
        </w:rPr>
        <w:t xml:space="preserve">Readings </w:t>
      </w:r>
      <w:r w:rsidR="00E63431" w:rsidRPr="002B2651">
        <w:rPr>
          <w:sz w:val="20"/>
          <w:szCs w:val="20"/>
        </w:rPr>
        <w:t>(1996, 27)</w:t>
      </w:r>
      <w:r w:rsidR="00E63431">
        <w:rPr>
          <w:sz w:val="20"/>
          <w:szCs w:val="20"/>
        </w:rPr>
        <w:t xml:space="preserve"> </w:t>
      </w:r>
      <w:r w:rsidR="00A42D58" w:rsidRPr="002B2651">
        <w:rPr>
          <w:sz w:val="20"/>
          <w:szCs w:val="20"/>
        </w:rPr>
        <w:t>suggests</w:t>
      </w:r>
      <w:r w:rsidRPr="002B2651">
        <w:rPr>
          <w:sz w:val="20"/>
          <w:szCs w:val="20"/>
        </w:rPr>
        <w:t xml:space="preserve">, by ‘questions of relative value-for-money, the question posed to student who is situated entirely as a </w:t>
      </w:r>
      <w:r w:rsidRPr="002B2651">
        <w:rPr>
          <w:i/>
          <w:sz w:val="20"/>
          <w:szCs w:val="20"/>
        </w:rPr>
        <w:t>consumer</w:t>
      </w:r>
      <w:r w:rsidRPr="002B2651">
        <w:rPr>
          <w:sz w:val="20"/>
          <w:szCs w:val="20"/>
        </w:rPr>
        <w:t>, rather tha</w:t>
      </w:r>
      <w:r w:rsidR="00E63431">
        <w:rPr>
          <w:sz w:val="20"/>
          <w:szCs w:val="20"/>
        </w:rPr>
        <w:t>n as someone who wants to think</w:t>
      </w:r>
      <w:r w:rsidRPr="002B2651">
        <w:rPr>
          <w:sz w:val="20"/>
          <w:szCs w:val="20"/>
        </w:rPr>
        <w:t>.</w:t>
      </w:r>
      <w:r w:rsidR="00E63431">
        <w:rPr>
          <w:sz w:val="20"/>
          <w:szCs w:val="20"/>
        </w:rPr>
        <w:t>’</w:t>
      </w:r>
      <w:r w:rsidR="00AE4E8D" w:rsidRPr="002B2651">
        <w:rPr>
          <w:rStyle w:val="FootnoteReference"/>
          <w:sz w:val="20"/>
          <w:szCs w:val="20"/>
        </w:rPr>
        <w:footnoteReference w:id="4"/>
      </w:r>
      <w:proofErr w:type="gramEnd"/>
      <w:r w:rsidRPr="002B2651">
        <w:rPr>
          <w:sz w:val="20"/>
          <w:szCs w:val="20"/>
        </w:rPr>
        <w:t xml:space="preserve">  </w:t>
      </w:r>
    </w:p>
    <w:p w14:paraId="4D691397" w14:textId="77777777" w:rsidR="00A42D58" w:rsidRPr="002B2651" w:rsidRDefault="00A42D58" w:rsidP="002708F2">
      <w:pPr>
        <w:pStyle w:val="NormalWeb"/>
        <w:shd w:val="clear" w:color="auto" w:fill="FFFFFF"/>
        <w:spacing w:before="0" w:beforeAutospacing="0" w:after="0" w:afterAutospacing="0" w:line="480" w:lineRule="auto"/>
        <w:textAlignment w:val="baseline"/>
        <w:rPr>
          <w:sz w:val="20"/>
          <w:szCs w:val="20"/>
        </w:rPr>
      </w:pPr>
    </w:p>
    <w:p w14:paraId="42CC7144" w14:textId="0C7E9136" w:rsidR="009309DC" w:rsidRPr="002B2651" w:rsidRDefault="00A42D58" w:rsidP="002708F2">
      <w:pPr>
        <w:pStyle w:val="NormalWeb"/>
        <w:shd w:val="clear" w:color="auto" w:fill="FFFFFF"/>
        <w:spacing w:before="0" w:beforeAutospacing="0" w:after="0" w:afterAutospacing="0" w:line="480" w:lineRule="auto"/>
        <w:textAlignment w:val="baseline"/>
        <w:rPr>
          <w:sz w:val="20"/>
          <w:szCs w:val="20"/>
        </w:rPr>
      </w:pPr>
      <w:r w:rsidRPr="002B2651">
        <w:rPr>
          <w:sz w:val="20"/>
          <w:szCs w:val="20"/>
        </w:rPr>
        <w:t xml:space="preserve">Although sympathetic to the broader </w:t>
      </w:r>
      <w:r w:rsidR="00666FC2" w:rsidRPr="002B2651">
        <w:rPr>
          <w:sz w:val="20"/>
          <w:szCs w:val="20"/>
        </w:rPr>
        <w:t xml:space="preserve">cynicism towards </w:t>
      </w:r>
      <w:r w:rsidRPr="002B2651">
        <w:rPr>
          <w:sz w:val="20"/>
          <w:szCs w:val="20"/>
        </w:rPr>
        <w:t xml:space="preserve">the rhetoric of teaching excellence </w:t>
      </w:r>
      <w:r w:rsidR="00666FC2" w:rsidRPr="002B2651">
        <w:rPr>
          <w:sz w:val="20"/>
          <w:szCs w:val="20"/>
        </w:rPr>
        <w:t xml:space="preserve">arising from the work of Readings, </w:t>
      </w:r>
      <w:r w:rsidR="00977E5D">
        <w:rPr>
          <w:sz w:val="20"/>
          <w:szCs w:val="20"/>
        </w:rPr>
        <w:t xml:space="preserve">Skelton and others, </w:t>
      </w:r>
      <w:r w:rsidR="00666FC2" w:rsidRPr="002B2651">
        <w:rPr>
          <w:sz w:val="20"/>
          <w:szCs w:val="20"/>
        </w:rPr>
        <w:t xml:space="preserve">this article develops </w:t>
      </w:r>
      <w:r w:rsidR="007D0B5E" w:rsidRPr="002B2651">
        <w:rPr>
          <w:sz w:val="20"/>
          <w:szCs w:val="20"/>
        </w:rPr>
        <w:t>their</w:t>
      </w:r>
      <w:r w:rsidR="009309DC" w:rsidRPr="002B2651">
        <w:rPr>
          <w:sz w:val="20"/>
          <w:szCs w:val="20"/>
        </w:rPr>
        <w:t xml:space="preserve"> line of</w:t>
      </w:r>
      <w:r w:rsidR="00666FC2" w:rsidRPr="002B2651">
        <w:rPr>
          <w:sz w:val="20"/>
          <w:szCs w:val="20"/>
        </w:rPr>
        <w:t xml:space="preserve"> criticism </w:t>
      </w:r>
      <w:r w:rsidR="009309DC" w:rsidRPr="002B2651">
        <w:rPr>
          <w:sz w:val="20"/>
          <w:szCs w:val="20"/>
        </w:rPr>
        <w:t xml:space="preserve">in a different </w:t>
      </w:r>
      <w:r w:rsidR="00666FC2" w:rsidRPr="002B2651">
        <w:rPr>
          <w:sz w:val="20"/>
          <w:szCs w:val="20"/>
        </w:rPr>
        <w:t>direction</w:t>
      </w:r>
      <w:r w:rsidR="007D0B5E" w:rsidRPr="002B2651">
        <w:rPr>
          <w:sz w:val="20"/>
          <w:szCs w:val="20"/>
        </w:rPr>
        <w:t>. T</w:t>
      </w:r>
      <w:r w:rsidR="003603E1" w:rsidRPr="002B2651">
        <w:rPr>
          <w:sz w:val="20"/>
          <w:szCs w:val="20"/>
        </w:rPr>
        <w:t>he first section</w:t>
      </w:r>
      <w:r w:rsidR="007D0B5E" w:rsidRPr="002B2651">
        <w:rPr>
          <w:sz w:val="20"/>
          <w:szCs w:val="20"/>
        </w:rPr>
        <w:t xml:space="preserve"> </w:t>
      </w:r>
      <w:r w:rsidR="007A512A" w:rsidRPr="002B2651">
        <w:rPr>
          <w:sz w:val="20"/>
          <w:szCs w:val="20"/>
        </w:rPr>
        <w:t xml:space="preserve">corroborates </w:t>
      </w:r>
      <w:r w:rsidR="008B75BA" w:rsidRPr="002B2651">
        <w:rPr>
          <w:sz w:val="20"/>
          <w:szCs w:val="20"/>
        </w:rPr>
        <w:t xml:space="preserve">what Readings </w:t>
      </w:r>
      <w:r w:rsidR="00666FC2" w:rsidRPr="002B2651">
        <w:rPr>
          <w:sz w:val="20"/>
          <w:szCs w:val="20"/>
        </w:rPr>
        <w:t>calls the ‘Americanization’ of higher education</w:t>
      </w:r>
      <w:r w:rsidR="007D0B5E" w:rsidRPr="002B2651">
        <w:rPr>
          <w:sz w:val="20"/>
          <w:szCs w:val="20"/>
        </w:rPr>
        <w:t xml:space="preserve"> by </w:t>
      </w:r>
      <w:r w:rsidR="007A512A" w:rsidRPr="002B2651">
        <w:rPr>
          <w:sz w:val="20"/>
          <w:szCs w:val="20"/>
        </w:rPr>
        <w:t xml:space="preserve">tracing the introduction of </w:t>
      </w:r>
      <w:r w:rsidR="007D0B5E" w:rsidRPr="002B2651">
        <w:rPr>
          <w:sz w:val="20"/>
          <w:szCs w:val="20"/>
        </w:rPr>
        <w:t xml:space="preserve">teaching excellence </w:t>
      </w:r>
      <w:r w:rsidR="007A512A" w:rsidRPr="002B2651">
        <w:rPr>
          <w:sz w:val="20"/>
          <w:szCs w:val="20"/>
        </w:rPr>
        <w:t xml:space="preserve">in the UK to the influence of US educational policy, led by Ernest Boyer, concerning </w:t>
      </w:r>
      <w:r w:rsidR="00E63431">
        <w:rPr>
          <w:sz w:val="20"/>
          <w:szCs w:val="20"/>
        </w:rPr>
        <w:t>an imbalance in the</w:t>
      </w:r>
      <w:r w:rsidR="007A512A" w:rsidRPr="002B2651">
        <w:rPr>
          <w:sz w:val="20"/>
          <w:szCs w:val="20"/>
        </w:rPr>
        <w:t xml:space="preserve"> teaching-research nexus</w:t>
      </w:r>
      <w:r w:rsidR="007D0B5E" w:rsidRPr="002B2651">
        <w:rPr>
          <w:sz w:val="20"/>
          <w:szCs w:val="20"/>
        </w:rPr>
        <w:t xml:space="preserve">. </w:t>
      </w:r>
      <w:proofErr w:type="gramStart"/>
      <w:r w:rsidR="007A512A" w:rsidRPr="002B2651">
        <w:rPr>
          <w:sz w:val="20"/>
          <w:szCs w:val="20"/>
        </w:rPr>
        <w:t>B</w:t>
      </w:r>
      <w:r w:rsidR="008B75BA" w:rsidRPr="002B2651">
        <w:rPr>
          <w:sz w:val="20"/>
          <w:szCs w:val="20"/>
        </w:rPr>
        <w:t xml:space="preserve">y </w:t>
      </w:r>
      <w:r w:rsidR="007A512A" w:rsidRPr="002B2651">
        <w:rPr>
          <w:sz w:val="20"/>
          <w:szCs w:val="20"/>
        </w:rPr>
        <w:t>contextualizing these debates in relation to</w:t>
      </w:r>
      <w:r w:rsidR="008B75BA" w:rsidRPr="002B2651">
        <w:rPr>
          <w:sz w:val="20"/>
          <w:szCs w:val="20"/>
        </w:rPr>
        <w:t xml:space="preserve"> </w:t>
      </w:r>
      <w:r w:rsidR="007A512A" w:rsidRPr="002B2651">
        <w:rPr>
          <w:sz w:val="20"/>
          <w:szCs w:val="20"/>
        </w:rPr>
        <w:t xml:space="preserve">ideas about the </w:t>
      </w:r>
      <w:r w:rsidR="008B75BA" w:rsidRPr="002B2651">
        <w:rPr>
          <w:sz w:val="20"/>
          <w:szCs w:val="20"/>
        </w:rPr>
        <w:t>learning society</w:t>
      </w:r>
      <w:r w:rsidR="007A512A" w:rsidRPr="002B2651">
        <w:rPr>
          <w:sz w:val="20"/>
          <w:szCs w:val="20"/>
        </w:rPr>
        <w:t>,</w:t>
      </w:r>
      <w:r w:rsidR="008B75BA" w:rsidRPr="002B2651">
        <w:rPr>
          <w:sz w:val="20"/>
          <w:szCs w:val="20"/>
        </w:rPr>
        <w:t xml:space="preserve"> influenced by </w:t>
      </w:r>
      <w:r w:rsidR="00666FC2" w:rsidRPr="002B2651">
        <w:rPr>
          <w:sz w:val="20"/>
          <w:szCs w:val="20"/>
        </w:rPr>
        <w:t>theories of human capital</w:t>
      </w:r>
      <w:r w:rsidR="00F25791" w:rsidRPr="002B2651">
        <w:rPr>
          <w:sz w:val="20"/>
          <w:szCs w:val="20"/>
        </w:rPr>
        <w:t xml:space="preserve">, </w:t>
      </w:r>
      <w:r w:rsidR="007A512A" w:rsidRPr="002B2651">
        <w:rPr>
          <w:sz w:val="20"/>
          <w:szCs w:val="20"/>
        </w:rPr>
        <w:t xml:space="preserve">the second section takes issue with </w:t>
      </w:r>
      <w:proofErr w:type="spellStart"/>
      <w:r w:rsidR="007A512A" w:rsidRPr="002B2651">
        <w:rPr>
          <w:sz w:val="20"/>
          <w:szCs w:val="20"/>
        </w:rPr>
        <w:t>Reading</w:t>
      </w:r>
      <w:r w:rsidR="00E63431">
        <w:rPr>
          <w:sz w:val="20"/>
          <w:szCs w:val="20"/>
        </w:rPr>
        <w:t>s</w:t>
      </w:r>
      <w:r w:rsidR="007A512A" w:rsidRPr="002B2651">
        <w:rPr>
          <w:sz w:val="20"/>
          <w:szCs w:val="20"/>
        </w:rPr>
        <w:t>’s</w:t>
      </w:r>
      <w:proofErr w:type="spellEnd"/>
      <w:r w:rsidR="007A512A" w:rsidRPr="002B2651">
        <w:rPr>
          <w:sz w:val="20"/>
          <w:szCs w:val="20"/>
        </w:rPr>
        <w:t xml:space="preserve"> euphemistic term “Americanization,” characteriz</w:t>
      </w:r>
      <w:r w:rsidR="008361F2" w:rsidRPr="002B2651">
        <w:rPr>
          <w:sz w:val="20"/>
          <w:szCs w:val="20"/>
        </w:rPr>
        <w:t>ed in terms of the rise of the</w:t>
      </w:r>
      <w:r w:rsidR="00323F45">
        <w:rPr>
          <w:sz w:val="20"/>
          <w:szCs w:val="20"/>
        </w:rPr>
        <w:t xml:space="preserve"> transnational,</w:t>
      </w:r>
      <w:r w:rsidR="008361F2" w:rsidRPr="002B2651">
        <w:rPr>
          <w:sz w:val="20"/>
          <w:szCs w:val="20"/>
        </w:rPr>
        <w:t xml:space="preserve"> corporate university </w:t>
      </w:r>
      <w:r w:rsidR="008361F2" w:rsidRPr="002B2651">
        <w:rPr>
          <w:sz w:val="20"/>
          <w:szCs w:val="20"/>
        </w:rPr>
        <w:lastRenderedPageBreak/>
        <w:t xml:space="preserve">and the student as consumer, </w:t>
      </w:r>
      <w:r w:rsidR="00E63431">
        <w:rPr>
          <w:sz w:val="20"/>
          <w:szCs w:val="20"/>
        </w:rPr>
        <w:t xml:space="preserve">and will emphasize </w:t>
      </w:r>
      <w:r w:rsidR="008361F2" w:rsidRPr="002B2651">
        <w:rPr>
          <w:sz w:val="20"/>
          <w:szCs w:val="20"/>
        </w:rPr>
        <w:t>the intensification of state-driven</w:t>
      </w:r>
      <w:r w:rsidR="00323F45">
        <w:rPr>
          <w:sz w:val="20"/>
          <w:szCs w:val="20"/>
        </w:rPr>
        <w:t xml:space="preserve"> national</w:t>
      </w:r>
      <w:r w:rsidR="008361F2" w:rsidRPr="002B2651">
        <w:rPr>
          <w:sz w:val="20"/>
          <w:szCs w:val="20"/>
        </w:rPr>
        <w:t xml:space="preserve"> intervention </w:t>
      </w:r>
      <w:r w:rsidR="00E63431">
        <w:rPr>
          <w:sz w:val="20"/>
          <w:szCs w:val="20"/>
        </w:rPr>
        <w:t>with a</w:t>
      </w:r>
      <w:r w:rsidR="003F1A8C" w:rsidRPr="002B2651">
        <w:rPr>
          <w:sz w:val="20"/>
          <w:szCs w:val="20"/>
        </w:rPr>
        <w:t xml:space="preserve"> </w:t>
      </w:r>
      <w:r w:rsidR="008361F2" w:rsidRPr="002B2651">
        <w:rPr>
          <w:sz w:val="20"/>
          <w:szCs w:val="20"/>
        </w:rPr>
        <w:t>vis</w:t>
      </w:r>
      <w:r w:rsidR="00C26288">
        <w:rPr>
          <w:sz w:val="20"/>
          <w:szCs w:val="20"/>
        </w:rPr>
        <w:t>ion of the student as producer.</w:t>
      </w:r>
      <w:proofErr w:type="gramEnd"/>
      <w:r w:rsidR="00C26288">
        <w:rPr>
          <w:sz w:val="20"/>
          <w:szCs w:val="20"/>
        </w:rPr>
        <w:t xml:space="preserve"> It </w:t>
      </w:r>
      <w:r w:rsidR="00943B5C" w:rsidRPr="002B2651">
        <w:rPr>
          <w:sz w:val="20"/>
          <w:szCs w:val="20"/>
        </w:rPr>
        <w:t>re</w:t>
      </w:r>
      <w:r w:rsidR="008361F2" w:rsidRPr="002B2651">
        <w:rPr>
          <w:sz w:val="20"/>
          <w:szCs w:val="20"/>
        </w:rPr>
        <w:t xml:space="preserve">connects these ideas </w:t>
      </w:r>
      <w:r w:rsidR="00943B5C" w:rsidRPr="002B2651">
        <w:rPr>
          <w:sz w:val="20"/>
          <w:szCs w:val="20"/>
        </w:rPr>
        <w:t xml:space="preserve">to </w:t>
      </w:r>
      <w:r w:rsidR="008361F2" w:rsidRPr="002B2651">
        <w:rPr>
          <w:sz w:val="20"/>
          <w:szCs w:val="20"/>
        </w:rPr>
        <w:t>the teaching-research nexus by arguing that a further consequence of such changes is not</w:t>
      </w:r>
      <w:r w:rsidR="003F1A8C" w:rsidRPr="002B2651">
        <w:rPr>
          <w:sz w:val="20"/>
          <w:szCs w:val="20"/>
        </w:rPr>
        <w:t xml:space="preserve"> </w:t>
      </w:r>
      <w:r w:rsidR="008361F2" w:rsidRPr="002B2651">
        <w:rPr>
          <w:sz w:val="20"/>
          <w:szCs w:val="20"/>
        </w:rPr>
        <w:t>a neutrality</w:t>
      </w:r>
      <w:r w:rsidR="00943B5C" w:rsidRPr="002B2651">
        <w:rPr>
          <w:sz w:val="20"/>
          <w:szCs w:val="20"/>
        </w:rPr>
        <w:t xml:space="preserve"> towards</w:t>
      </w:r>
      <w:r w:rsidR="003F1A8C" w:rsidRPr="002B2651">
        <w:rPr>
          <w:sz w:val="20"/>
          <w:szCs w:val="20"/>
        </w:rPr>
        <w:t xml:space="preserve"> or antagonism between research and t</w:t>
      </w:r>
      <w:r w:rsidR="008361F2" w:rsidRPr="002B2651">
        <w:rPr>
          <w:sz w:val="20"/>
          <w:szCs w:val="20"/>
        </w:rPr>
        <w:t xml:space="preserve">eaching </w:t>
      </w:r>
      <w:r w:rsidR="00912909" w:rsidRPr="002B2651">
        <w:rPr>
          <w:sz w:val="20"/>
          <w:szCs w:val="20"/>
        </w:rPr>
        <w:t>excellence but</w:t>
      </w:r>
      <w:r w:rsidR="003F1A8C" w:rsidRPr="002B2651">
        <w:rPr>
          <w:sz w:val="20"/>
          <w:szCs w:val="20"/>
        </w:rPr>
        <w:t xml:space="preserve"> rather</w:t>
      </w:r>
      <w:r w:rsidR="00912909" w:rsidRPr="002B2651">
        <w:rPr>
          <w:sz w:val="20"/>
          <w:szCs w:val="20"/>
        </w:rPr>
        <w:t xml:space="preserve"> the promotion of a </w:t>
      </w:r>
      <w:r w:rsidR="00F25791" w:rsidRPr="002B2651">
        <w:rPr>
          <w:sz w:val="20"/>
          <w:szCs w:val="20"/>
        </w:rPr>
        <w:t xml:space="preserve">narrower </w:t>
      </w:r>
      <w:r w:rsidR="00912909" w:rsidRPr="002B2651">
        <w:rPr>
          <w:sz w:val="20"/>
          <w:szCs w:val="20"/>
        </w:rPr>
        <w:t xml:space="preserve">emphasis upon </w:t>
      </w:r>
      <w:r w:rsidR="00F25791" w:rsidRPr="002B2651">
        <w:rPr>
          <w:i/>
          <w:sz w:val="20"/>
          <w:szCs w:val="20"/>
        </w:rPr>
        <w:t>research-led</w:t>
      </w:r>
      <w:r w:rsidR="00912909" w:rsidRPr="002B2651">
        <w:rPr>
          <w:sz w:val="20"/>
          <w:szCs w:val="20"/>
        </w:rPr>
        <w:t xml:space="preserve"> teaching</w:t>
      </w:r>
      <w:r w:rsidR="00F25791" w:rsidRPr="002B2651">
        <w:rPr>
          <w:sz w:val="20"/>
          <w:szCs w:val="20"/>
        </w:rPr>
        <w:t xml:space="preserve"> </w:t>
      </w:r>
      <w:r w:rsidR="00912909" w:rsidRPr="002B2651">
        <w:rPr>
          <w:sz w:val="20"/>
          <w:szCs w:val="20"/>
        </w:rPr>
        <w:t xml:space="preserve">excellence </w:t>
      </w:r>
      <w:r w:rsidR="00943B5C" w:rsidRPr="002B2651">
        <w:rPr>
          <w:sz w:val="20"/>
          <w:szCs w:val="20"/>
        </w:rPr>
        <w:t>centred on an idea of the</w:t>
      </w:r>
      <w:r w:rsidR="00F25791" w:rsidRPr="002B2651">
        <w:rPr>
          <w:sz w:val="20"/>
          <w:szCs w:val="20"/>
        </w:rPr>
        <w:t xml:space="preserve"> productivity of research</w:t>
      </w:r>
      <w:r w:rsidR="00E63431">
        <w:rPr>
          <w:sz w:val="20"/>
          <w:szCs w:val="20"/>
        </w:rPr>
        <w:t xml:space="preserve">. </w:t>
      </w:r>
      <w:r w:rsidR="00323F45">
        <w:rPr>
          <w:sz w:val="20"/>
          <w:szCs w:val="20"/>
        </w:rPr>
        <w:t>In a more optimistic vein, t</w:t>
      </w:r>
      <w:r w:rsidR="00BA1931" w:rsidRPr="002B2651">
        <w:rPr>
          <w:sz w:val="20"/>
          <w:szCs w:val="20"/>
        </w:rPr>
        <w:t>he</w:t>
      </w:r>
      <w:r w:rsidR="00943B5C" w:rsidRPr="002B2651">
        <w:rPr>
          <w:sz w:val="20"/>
          <w:szCs w:val="20"/>
        </w:rPr>
        <w:t xml:space="preserve"> final</w:t>
      </w:r>
      <w:r w:rsidR="00912909" w:rsidRPr="002B2651">
        <w:rPr>
          <w:sz w:val="20"/>
          <w:szCs w:val="20"/>
        </w:rPr>
        <w:t xml:space="preserve"> section then </w:t>
      </w:r>
      <w:r w:rsidR="009309DC" w:rsidRPr="002B2651">
        <w:rPr>
          <w:sz w:val="20"/>
          <w:szCs w:val="20"/>
        </w:rPr>
        <w:t>seeks</w:t>
      </w:r>
      <w:r w:rsidR="00912909" w:rsidRPr="002B2651">
        <w:rPr>
          <w:sz w:val="20"/>
          <w:szCs w:val="20"/>
        </w:rPr>
        <w:t xml:space="preserve"> to recover</w:t>
      </w:r>
      <w:r w:rsidR="00E63431">
        <w:rPr>
          <w:sz w:val="20"/>
          <w:szCs w:val="20"/>
        </w:rPr>
        <w:t>,</w:t>
      </w:r>
      <w:r w:rsidR="00912909" w:rsidRPr="002B2651">
        <w:rPr>
          <w:sz w:val="20"/>
          <w:szCs w:val="20"/>
        </w:rPr>
        <w:t xml:space="preserve"> </w:t>
      </w:r>
      <w:r w:rsidR="00C26288">
        <w:rPr>
          <w:sz w:val="20"/>
          <w:szCs w:val="20"/>
        </w:rPr>
        <w:t>through a critical re-engagement with Bo</w:t>
      </w:r>
      <w:r w:rsidR="00F25791" w:rsidRPr="002B2651">
        <w:rPr>
          <w:sz w:val="20"/>
          <w:szCs w:val="20"/>
        </w:rPr>
        <w:t xml:space="preserve">yer’s </w:t>
      </w:r>
      <w:r w:rsidR="00C26288">
        <w:rPr>
          <w:sz w:val="20"/>
          <w:szCs w:val="20"/>
        </w:rPr>
        <w:t>understanding of the teaching-research</w:t>
      </w:r>
      <w:r w:rsidR="00E63431">
        <w:rPr>
          <w:sz w:val="20"/>
          <w:szCs w:val="20"/>
        </w:rPr>
        <w:t xml:space="preserve">, </w:t>
      </w:r>
      <w:r w:rsidR="00912909" w:rsidRPr="002B2651">
        <w:rPr>
          <w:sz w:val="20"/>
          <w:szCs w:val="20"/>
        </w:rPr>
        <w:t>a</w:t>
      </w:r>
      <w:r w:rsidR="00580B55" w:rsidRPr="002B2651">
        <w:rPr>
          <w:sz w:val="20"/>
          <w:szCs w:val="20"/>
        </w:rPr>
        <w:t xml:space="preserve"> positive and</w:t>
      </w:r>
      <w:r w:rsidR="00912909" w:rsidRPr="002B2651">
        <w:rPr>
          <w:sz w:val="20"/>
          <w:szCs w:val="20"/>
        </w:rPr>
        <w:t xml:space="preserve"> countervailing notion of </w:t>
      </w:r>
      <w:r w:rsidR="009309DC" w:rsidRPr="002B2651">
        <w:rPr>
          <w:i/>
          <w:sz w:val="20"/>
          <w:szCs w:val="20"/>
        </w:rPr>
        <w:t>teaching-led</w:t>
      </w:r>
      <w:r w:rsidR="00912909" w:rsidRPr="002B2651">
        <w:rPr>
          <w:sz w:val="20"/>
          <w:szCs w:val="20"/>
        </w:rPr>
        <w:t xml:space="preserve"> research</w:t>
      </w:r>
      <w:r w:rsidR="009309DC" w:rsidRPr="002B2651">
        <w:rPr>
          <w:sz w:val="20"/>
          <w:szCs w:val="20"/>
        </w:rPr>
        <w:t xml:space="preserve"> that</w:t>
      </w:r>
      <w:r w:rsidR="00580B55" w:rsidRPr="002B2651">
        <w:rPr>
          <w:sz w:val="20"/>
          <w:szCs w:val="20"/>
        </w:rPr>
        <w:t xml:space="preserve"> dissociates </w:t>
      </w:r>
      <w:r w:rsidR="009309DC" w:rsidRPr="002B2651">
        <w:rPr>
          <w:sz w:val="20"/>
          <w:szCs w:val="20"/>
        </w:rPr>
        <w:t xml:space="preserve">the </w:t>
      </w:r>
      <w:r w:rsidR="00F25791" w:rsidRPr="002B2651">
        <w:rPr>
          <w:sz w:val="20"/>
          <w:szCs w:val="20"/>
        </w:rPr>
        <w:t>value and significance</w:t>
      </w:r>
      <w:r w:rsidR="009309DC" w:rsidRPr="002B2651">
        <w:rPr>
          <w:sz w:val="20"/>
          <w:szCs w:val="20"/>
        </w:rPr>
        <w:t xml:space="preserve"> of teaching</w:t>
      </w:r>
      <w:r w:rsidR="00F25791" w:rsidRPr="002B2651">
        <w:rPr>
          <w:sz w:val="20"/>
          <w:szCs w:val="20"/>
        </w:rPr>
        <w:t xml:space="preserve"> from its </w:t>
      </w:r>
      <w:r w:rsidR="00912909" w:rsidRPr="002B2651">
        <w:rPr>
          <w:sz w:val="20"/>
          <w:szCs w:val="20"/>
        </w:rPr>
        <w:t>problematic</w:t>
      </w:r>
      <w:r w:rsidR="00580B55" w:rsidRPr="002B2651">
        <w:rPr>
          <w:sz w:val="20"/>
          <w:szCs w:val="20"/>
        </w:rPr>
        <w:t xml:space="preserve"> connection </w:t>
      </w:r>
      <w:r w:rsidR="00F25791" w:rsidRPr="002B2651">
        <w:rPr>
          <w:sz w:val="20"/>
          <w:szCs w:val="20"/>
        </w:rPr>
        <w:t xml:space="preserve">with excellence and </w:t>
      </w:r>
      <w:r w:rsidR="003F1A8C" w:rsidRPr="002B2651">
        <w:rPr>
          <w:sz w:val="20"/>
          <w:szCs w:val="20"/>
        </w:rPr>
        <w:t xml:space="preserve">the productivity of </w:t>
      </w:r>
      <w:r w:rsidR="00F25791" w:rsidRPr="002B2651">
        <w:rPr>
          <w:sz w:val="20"/>
          <w:szCs w:val="20"/>
        </w:rPr>
        <w:t xml:space="preserve">human capital. </w:t>
      </w:r>
    </w:p>
    <w:p w14:paraId="514578B3" w14:textId="5F4A22AF" w:rsidR="00A43F32" w:rsidRPr="002B2651" w:rsidRDefault="00A43F32" w:rsidP="00BA1931">
      <w:pPr>
        <w:pStyle w:val="NormalWeb"/>
        <w:numPr>
          <w:ilvl w:val="0"/>
          <w:numId w:val="14"/>
        </w:numPr>
        <w:rPr>
          <w:b/>
          <w:sz w:val="20"/>
          <w:szCs w:val="20"/>
        </w:rPr>
      </w:pPr>
      <w:r w:rsidRPr="002B2651">
        <w:rPr>
          <w:b/>
          <w:sz w:val="20"/>
          <w:szCs w:val="20"/>
        </w:rPr>
        <w:t>Americanization</w:t>
      </w:r>
    </w:p>
    <w:p w14:paraId="6ED9140E" w14:textId="5ED8B2C3" w:rsidR="00A47089" w:rsidRPr="002B2651" w:rsidRDefault="00A47089" w:rsidP="00A47089">
      <w:pPr>
        <w:pStyle w:val="NormalWeb"/>
        <w:shd w:val="clear" w:color="auto" w:fill="FFFFFF"/>
        <w:spacing w:before="0" w:beforeAutospacing="0" w:after="0" w:afterAutospacing="0" w:line="480" w:lineRule="auto"/>
        <w:textAlignment w:val="baseline"/>
        <w:rPr>
          <w:sz w:val="20"/>
          <w:szCs w:val="20"/>
        </w:rPr>
      </w:pPr>
      <w:r w:rsidRPr="002B2651">
        <w:rPr>
          <w:sz w:val="20"/>
          <w:szCs w:val="20"/>
        </w:rPr>
        <w:t>Readings (1996, 4</w:t>
      </w:r>
      <w:r w:rsidR="00912909" w:rsidRPr="002B2651">
        <w:rPr>
          <w:sz w:val="20"/>
          <w:szCs w:val="20"/>
        </w:rPr>
        <w:t>) attributes</w:t>
      </w:r>
      <w:r w:rsidRPr="002B2651">
        <w:rPr>
          <w:sz w:val="20"/>
          <w:szCs w:val="20"/>
        </w:rPr>
        <w:t xml:space="preserve"> the emergence of a more general discourse of excellence within Bri</w:t>
      </w:r>
      <w:r w:rsidR="000022D0">
        <w:rPr>
          <w:sz w:val="20"/>
          <w:szCs w:val="20"/>
        </w:rPr>
        <w:t>tish universities to a growing ‘Americanization’</w:t>
      </w:r>
      <w:r w:rsidRPr="002B2651">
        <w:rPr>
          <w:sz w:val="20"/>
          <w:szCs w:val="20"/>
        </w:rPr>
        <w:t xml:space="preserve"> of global higher education. </w:t>
      </w:r>
      <w:r w:rsidR="00A43F32" w:rsidRPr="002B2651">
        <w:rPr>
          <w:sz w:val="20"/>
          <w:szCs w:val="20"/>
        </w:rPr>
        <w:t>Teaching excellence</w:t>
      </w:r>
      <w:r w:rsidR="00912909" w:rsidRPr="002B2651">
        <w:rPr>
          <w:sz w:val="20"/>
          <w:szCs w:val="20"/>
        </w:rPr>
        <w:t xml:space="preserve"> began appearing</w:t>
      </w:r>
      <w:r w:rsidR="00A43F32" w:rsidRPr="002B2651">
        <w:rPr>
          <w:sz w:val="20"/>
          <w:szCs w:val="20"/>
        </w:rPr>
        <w:t xml:space="preserve"> in British academic discourse following the </w:t>
      </w:r>
      <w:r w:rsidR="00912909" w:rsidRPr="002B2651">
        <w:rPr>
          <w:sz w:val="20"/>
          <w:szCs w:val="20"/>
        </w:rPr>
        <w:t xml:space="preserve">1997 publication of the </w:t>
      </w:r>
      <w:r w:rsidR="00A43F32" w:rsidRPr="002B2651">
        <w:rPr>
          <w:sz w:val="20"/>
          <w:szCs w:val="20"/>
        </w:rPr>
        <w:t xml:space="preserve">Dearing Report on </w:t>
      </w:r>
      <w:r w:rsidR="00A43F32" w:rsidRPr="002B2651">
        <w:rPr>
          <w:i/>
          <w:sz w:val="20"/>
          <w:szCs w:val="20"/>
        </w:rPr>
        <w:t>Higher Education in the Learning Society</w:t>
      </w:r>
      <w:r w:rsidR="00912909" w:rsidRPr="002B2651">
        <w:rPr>
          <w:sz w:val="20"/>
          <w:szCs w:val="20"/>
        </w:rPr>
        <w:t xml:space="preserve">, which </w:t>
      </w:r>
      <w:r w:rsidR="008446D9" w:rsidRPr="002B2651">
        <w:rPr>
          <w:sz w:val="20"/>
          <w:szCs w:val="20"/>
        </w:rPr>
        <w:t>called on institutions to remedy ‘inadequate reco</w:t>
      </w:r>
      <w:r w:rsidRPr="002B2651">
        <w:rPr>
          <w:sz w:val="20"/>
          <w:szCs w:val="20"/>
        </w:rPr>
        <w:t>gnition of teaching excellence’ (Dearing 1997, 114 &amp; 215-6</w:t>
      </w:r>
      <w:r w:rsidR="00580B55" w:rsidRPr="002B2651">
        <w:rPr>
          <w:sz w:val="20"/>
          <w:szCs w:val="20"/>
        </w:rPr>
        <w:t xml:space="preserve">; cf. </w:t>
      </w:r>
      <w:proofErr w:type="spellStart"/>
      <w:r w:rsidR="00580B55" w:rsidRPr="002B2651">
        <w:rPr>
          <w:sz w:val="20"/>
          <w:szCs w:val="20"/>
        </w:rPr>
        <w:t>Fanghanel</w:t>
      </w:r>
      <w:proofErr w:type="spellEnd"/>
      <w:r w:rsidR="00580B55" w:rsidRPr="002B2651">
        <w:rPr>
          <w:sz w:val="20"/>
          <w:szCs w:val="20"/>
        </w:rPr>
        <w:t xml:space="preserve"> 2007, 200</w:t>
      </w:r>
      <w:r w:rsidRPr="002B2651">
        <w:rPr>
          <w:sz w:val="20"/>
          <w:szCs w:val="20"/>
        </w:rPr>
        <w:t>).</w:t>
      </w:r>
      <w:r w:rsidR="008446D9" w:rsidRPr="002B2651">
        <w:rPr>
          <w:sz w:val="20"/>
          <w:szCs w:val="20"/>
        </w:rPr>
        <w:t xml:space="preserve"> </w:t>
      </w:r>
      <w:proofErr w:type="gramStart"/>
      <w:r w:rsidRPr="002B2651">
        <w:rPr>
          <w:sz w:val="20"/>
          <w:szCs w:val="20"/>
        </w:rPr>
        <w:t xml:space="preserve">In line with </w:t>
      </w:r>
      <w:proofErr w:type="spellStart"/>
      <w:r w:rsidRPr="002B2651">
        <w:rPr>
          <w:sz w:val="20"/>
          <w:szCs w:val="20"/>
        </w:rPr>
        <w:t>Readings</w:t>
      </w:r>
      <w:r w:rsidR="003F1A8C" w:rsidRPr="002B2651">
        <w:rPr>
          <w:sz w:val="20"/>
          <w:szCs w:val="20"/>
        </w:rPr>
        <w:t>’s</w:t>
      </w:r>
      <w:proofErr w:type="spellEnd"/>
      <w:r w:rsidRPr="002B2651">
        <w:rPr>
          <w:sz w:val="20"/>
          <w:szCs w:val="20"/>
        </w:rPr>
        <w:t xml:space="preserve"> claim, it </w:t>
      </w:r>
      <w:r w:rsidR="00E3011F" w:rsidRPr="002B2651">
        <w:rPr>
          <w:sz w:val="20"/>
          <w:szCs w:val="20"/>
        </w:rPr>
        <w:t xml:space="preserve">seems to have been </w:t>
      </w:r>
      <w:r w:rsidR="00DB48AA" w:rsidRPr="002B2651">
        <w:rPr>
          <w:sz w:val="20"/>
          <w:szCs w:val="20"/>
        </w:rPr>
        <w:t>a</w:t>
      </w:r>
      <w:r w:rsidR="00C22FEE" w:rsidRPr="002B2651">
        <w:rPr>
          <w:sz w:val="20"/>
          <w:szCs w:val="20"/>
        </w:rPr>
        <w:t xml:space="preserve"> </w:t>
      </w:r>
      <w:r w:rsidR="00C22FEE" w:rsidRPr="002B2651">
        <w:rPr>
          <w:color w:val="231F20"/>
          <w:sz w:val="20"/>
          <w:szCs w:val="20"/>
        </w:rPr>
        <w:t>visit to the US during the compilation of the report that</w:t>
      </w:r>
      <w:r w:rsidR="00C22FEE" w:rsidRPr="002B2651">
        <w:rPr>
          <w:sz w:val="20"/>
          <w:szCs w:val="20"/>
        </w:rPr>
        <w:t xml:space="preserve"> </w:t>
      </w:r>
      <w:r w:rsidR="00E63431">
        <w:rPr>
          <w:sz w:val="20"/>
          <w:szCs w:val="20"/>
        </w:rPr>
        <w:t xml:space="preserve">nonetheless </w:t>
      </w:r>
      <w:r w:rsidR="00C22FEE" w:rsidRPr="002B2651">
        <w:rPr>
          <w:sz w:val="20"/>
          <w:szCs w:val="20"/>
        </w:rPr>
        <w:t xml:space="preserve">persuaded </w:t>
      </w:r>
      <w:r w:rsidR="0098024D" w:rsidRPr="002B2651">
        <w:rPr>
          <w:sz w:val="20"/>
          <w:szCs w:val="20"/>
        </w:rPr>
        <w:t xml:space="preserve">the committee involved </w:t>
      </w:r>
      <w:r w:rsidRPr="002B2651">
        <w:rPr>
          <w:color w:val="231F20"/>
          <w:sz w:val="20"/>
          <w:szCs w:val="20"/>
        </w:rPr>
        <w:t>to reject the principle of teaching-only institutions (</w:t>
      </w:r>
      <w:r w:rsidRPr="002B2651">
        <w:rPr>
          <w:sz w:val="20"/>
          <w:szCs w:val="20"/>
        </w:rPr>
        <w:t xml:space="preserve">Healey, Jenkins and </w:t>
      </w:r>
      <w:proofErr w:type="spellStart"/>
      <w:r w:rsidRPr="002B2651">
        <w:rPr>
          <w:sz w:val="20"/>
          <w:szCs w:val="20"/>
        </w:rPr>
        <w:t>Zetter</w:t>
      </w:r>
      <w:proofErr w:type="spellEnd"/>
      <w:r w:rsidRPr="002B2651">
        <w:rPr>
          <w:sz w:val="20"/>
          <w:szCs w:val="20"/>
        </w:rPr>
        <w:t xml:space="preserve"> 2007, 11-12) and to recognize instead </w:t>
      </w:r>
      <w:r w:rsidR="00C22FEE" w:rsidRPr="002B2651">
        <w:rPr>
          <w:sz w:val="20"/>
          <w:szCs w:val="20"/>
        </w:rPr>
        <w:t>‘th</w:t>
      </w:r>
      <w:r w:rsidR="00C22FEE" w:rsidRPr="002B2651">
        <w:rPr>
          <w:color w:val="231F20"/>
          <w:sz w:val="20"/>
          <w:szCs w:val="20"/>
        </w:rPr>
        <w:t>e important role of research and scholarship in in</w:t>
      </w:r>
      <w:r w:rsidR="00DB48AA" w:rsidRPr="002B2651">
        <w:rPr>
          <w:color w:val="231F20"/>
          <w:sz w:val="20"/>
          <w:szCs w:val="20"/>
        </w:rPr>
        <w:t>forming and enhancing teaching’</w:t>
      </w:r>
      <w:r w:rsidR="00C706C5" w:rsidRPr="002B2651">
        <w:rPr>
          <w:color w:val="231F20"/>
          <w:sz w:val="20"/>
          <w:szCs w:val="20"/>
        </w:rPr>
        <w:t xml:space="preserve"> </w:t>
      </w:r>
      <w:r w:rsidR="00C706C5" w:rsidRPr="002B2651">
        <w:rPr>
          <w:sz w:val="20"/>
          <w:szCs w:val="20"/>
        </w:rPr>
        <w:t>(Dearing 1997, 115 &amp; 177)</w:t>
      </w:r>
      <w:r w:rsidR="00323F45">
        <w:rPr>
          <w:sz w:val="20"/>
          <w:szCs w:val="20"/>
        </w:rPr>
        <w:t xml:space="preserve"> that informs this concept of teaching excellence</w:t>
      </w:r>
      <w:r w:rsidR="00DB48AA" w:rsidRPr="002B2651">
        <w:rPr>
          <w:sz w:val="20"/>
          <w:szCs w:val="20"/>
        </w:rPr>
        <w:t>.</w:t>
      </w:r>
      <w:r w:rsidRPr="002B2651">
        <w:rPr>
          <w:rStyle w:val="FootnoteReference"/>
          <w:sz w:val="20"/>
          <w:szCs w:val="20"/>
        </w:rPr>
        <w:footnoteReference w:id="5"/>
      </w:r>
      <w:proofErr w:type="gramEnd"/>
      <w:r w:rsidR="00DB48AA" w:rsidRPr="002B2651">
        <w:rPr>
          <w:sz w:val="20"/>
          <w:szCs w:val="20"/>
        </w:rPr>
        <w:t xml:space="preserve"> </w:t>
      </w:r>
    </w:p>
    <w:p w14:paraId="641761DE" w14:textId="77777777" w:rsidR="00A47089" w:rsidRPr="002B2651" w:rsidRDefault="00A47089" w:rsidP="00A47089">
      <w:pPr>
        <w:pStyle w:val="NormalWeb"/>
        <w:shd w:val="clear" w:color="auto" w:fill="FFFFFF"/>
        <w:spacing w:before="0" w:beforeAutospacing="0" w:after="0" w:afterAutospacing="0" w:line="480" w:lineRule="auto"/>
        <w:textAlignment w:val="baseline"/>
        <w:rPr>
          <w:sz w:val="20"/>
          <w:szCs w:val="20"/>
        </w:rPr>
      </w:pPr>
    </w:p>
    <w:p w14:paraId="65F19FA7" w14:textId="5716FC71" w:rsidR="00D25A36" w:rsidRPr="002B2651" w:rsidRDefault="00DB48AA" w:rsidP="00DB48AA">
      <w:pPr>
        <w:pStyle w:val="NormalWeb"/>
        <w:shd w:val="clear" w:color="auto" w:fill="FFFFFF"/>
        <w:spacing w:before="0" w:beforeAutospacing="0" w:after="0" w:afterAutospacing="0" w:line="480" w:lineRule="auto"/>
        <w:textAlignment w:val="baseline"/>
        <w:rPr>
          <w:sz w:val="20"/>
          <w:szCs w:val="20"/>
        </w:rPr>
      </w:pPr>
      <w:proofErr w:type="gramStart"/>
      <w:r w:rsidRPr="002B2651">
        <w:rPr>
          <w:sz w:val="20"/>
          <w:szCs w:val="20"/>
        </w:rPr>
        <w:t>Th</w:t>
      </w:r>
      <w:r w:rsidR="00563038" w:rsidRPr="002B2651">
        <w:rPr>
          <w:sz w:val="20"/>
          <w:szCs w:val="20"/>
        </w:rPr>
        <w:t>e</w:t>
      </w:r>
      <w:r w:rsidR="0081463C" w:rsidRPr="002B2651">
        <w:rPr>
          <w:color w:val="231F20"/>
          <w:sz w:val="20"/>
          <w:szCs w:val="20"/>
        </w:rPr>
        <w:t xml:space="preserve"> Scholarship of Teaching and Learning movement</w:t>
      </w:r>
      <w:r w:rsidR="00912909" w:rsidRPr="002B2651">
        <w:rPr>
          <w:color w:val="231F20"/>
          <w:sz w:val="20"/>
          <w:szCs w:val="20"/>
        </w:rPr>
        <w:t xml:space="preserve"> referenced in the Report</w:t>
      </w:r>
      <w:r w:rsidR="0081463C" w:rsidRPr="002B2651">
        <w:rPr>
          <w:color w:val="231F20"/>
          <w:sz w:val="20"/>
          <w:szCs w:val="20"/>
        </w:rPr>
        <w:t xml:space="preserve"> </w:t>
      </w:r>
      <w:r w:rsidR="00563038" w:rsidRPr="002B2651">
        <w:rPr>
          <w:color w:val="231F20"/>
          <w:sz w:val="20"/>
          <w:szCs w:val="20"/>
        </w:rPr>
        <w:t>emerged</w:t>
      </w:r>
      <w:r w:rsidR="00912909" w:rsidRPr="002B2651">
        <w:rPr>
          <w:color w:val="231F20"/>
          <w:sz w:val="20"/>
          <w:szCs w:val="20"/>
        </w:rPr>
        <w:t xml:space="preserve"> in the 1990s</w:t>
      </w:r>
      <w:r w:rsidR="00563038" w:rsidRPr="002B2651">
        <w:rPr>
          <w:color w:val="231F20"/>
          <w:sz w:val="20"/>
          <w:szCs w:val="20"/>
        </w:rPr>
        <w:t xml:space="preserve"> </w:t>
      </w:r>
      <w:r w:rsidR="00F23152" w:rsidRPr="002B2651">
        <w:rPr>
          <w:color w:val="231F20"/>
          <w:sz w:val="20"/>
          <w:szCs w:val="20"/>
        </w:rPr>
        <w:t>from the</w:t>
      </w:r>
      <w:r w:rsidR="00C22FEE" w:rsidRPr="002B2651">
        <w:rPr>
          <w:color w:val="231F20"/>
          <w:sz w:val="20"/>
          <w:szCs w:val="20"/>
        </w:rPr>
        <w:t xml:space="preserve"> influential work of </w:t>
      </w:r>
      <w:r w:rsidR="00912909" w:rsidRPr="002B2651">
        <w:rPr>
          <w:color w:val="231F20"/>
          <w:sz w:val="20"/>
          <w:szCs w:val="20"/>
        </w:rPr>
        <w:t xml:space="preserve">American </w:t>
      </w:r>
      <w:r w:rsidR="00C22FEE" w:rsidRPr="002B2651">
        <w:rPr>
          <w:color w:val="231F20"/>
          <w:sz w:val="20"/>
          <w:szCs w:val="20"/>
        </w:rPr>
        <w:t xml:space="preserve">educational reformer </w:t>
      </w:r>
      <w:r w:rsidR="00D25A36" w:rsidRPr="002B2651">
        <w:rPr>
          <w:color w:val="231F20"/>
          <w:sz w:val="20"/>
          <w:szCs w:val="20"/>
        </w:rPr>
        <w:t>Ernest Boyer</w:t>
      </w:r>
      <w:r w:rsidR="00563038" w:rsidRPr="002B2651">
        <w:rPr>
          <w:color w:val="231F20"/>
          <w:sz w:val="20"/>
          <w:szCs w:val="20"/>
        </w:rPr>
        <w:t xml:space="preserve"> (</w:t>
      </w:r>
      <w:proofErr w:type="spellStart"/>
      <w:r w:rsidR="00563038" w:rsidRPr="002B2651">
        <w:rPr>
          <w:color w:val="231F20"/>
          <w:sz w:val="20"/>
          <w:szCs w:val="20"/>
        </w:rPr>
        <w:t>Fanghanel</w:t>
      </w:r>
      <w:proofErr w:type="spellEnd"/>
      <w:r w:rsidR="00563038" w:rsidRPr="002B2651">
        <w:rPr>
          <w:color w:val="231F20"/>
          <w:sz w:val="20"/>
          <w:szCs w:val="20"/>
        </w:rPr>
        <w:t xml:space="preserve"> 2007, 200)</w:t>
      </w:r>
      <w:r w:rsidR="00D25A36" w:rsidRPr="002B2651">
        <w:rPr>
          <w:color w:val="231F20"/>
          <w:sz w:val="20"/>
          <w:szCs w:val="20"/>
        </w:rPr>
        <w:t xml:space="preserve">, </w:t>
      </w:r>
      <w:r w:rsidRPr="002B2651">
        <w:rPr>
          <w:color w:val="231F20"/>
          <w:sz w:val="20"/>
          <w:szCs w:val="20"/>
        </w:rPr>
        <w:t xml:space="preserve">and the Report (1997, </w:t>
      </w:r>
      <w:r w:rsidR="00434E24" w:rsidRPr="002B2651">
        <w:rPr>
          <w:color w:val="231F20"/>
          <w:sz w:val="20"/>
          <w:szCs w:val="20"/>
        </w:rPr>
        <w:t>114)</w:t>
      </w:r>
      <w:r w:rsidRPr="002B2651">
        <w:rPr>
          <w:color w:val="231F20"/>
          <w:sz w:val="20"/>
          <w:szCs w:val="20"/>
        </w:rPr>
        <w:t xml:space="preserve"> cites Boyer’s </w:t>
      </w:r>
      <w:r w:rsidRPr="002B2651">
        <w:rPr>
          <w:i/>
          <w:color w:val="231F20"/>
          <w:sz w:val="20"/>
          <w:szCs w:val="20"/>
        </w:rPr>
        <w:t xml:space="preserve">Scholarship Reconsidered </w:t>
      </w:r>
      <w:r w:rsidR="00F72BA6" w:rsidRPr="002B2651">
        <w:rPr>
          <w:color w:val="231F20"/>
          <w:sz w:val="20"/>
          <w:szCs w:val="20"/>
        </w:rPr>
        <w:t xml:space="preserve">(1990) </w:t>
      </w:r>
      <w:r w:rsidRPr="002B2651">
        <w:rPr>
          <w:color w:val="231F20"/>
          <w:sz w:val="20"/>
          <w:szCs w:val="20"/>
        </w:rPr>
        <w:t>to justify its recommendations to recognize teaching excellence, place students at the centre of learning and teaching, encourage active learning based on practical experience, and to encourage critical and creative thinking for lifelong learning</w:t>
      </w:r>
      <w:r w:rsidR="00912909" w:rsidRPr="002B2651">
        <w:rPr>
          <w:color w:val="231F20"/>
          <w:sz w:val="20"/>
          <w:szCs w:val="20"/>
        </w:rPr>
        <w:t xml:space="preserve"> (</w:t>
      </w:r>
      <w:r w:rsidR="003F1A8C" w:rsidRPr="002B2651">
        <w:rPr>
          <w:color w:val="231F20"/>
          <w:sz w:val="20"/>
          <w:szCs w:val="20"/>
        </w:rPr>
        <w:t xml:space="preserve">recommendations repeated </w:t>
      </w:r>
      <w:r w:rsidR="00912909" w:rsidRPr="002B2651">
        <w:rPr>
          <w:color w:val="231F20"/>
          <w:sz w:val="20"/>
          <w:szCs w:val="20"/>
        </w:rPr>
        <w:t>in recent White Papers)</w:t>
      </w:r>
      <w:r w:rsidRPr="002B2651">
        <w:rPr>
          <w:color w:val="231F20"/>
          <w:sz w:val="20"/>
          <w:szCs w:val="20"/>
        </w:rPr>
        <w:t>.</w:t>
      </w:r>
      <w:proofErr w:type="gramEnd"/>
      <w:r w:rsidR="00A47089" w:rsidRPr="002B2651">
        <w:rPr>
          <w:color w:val="231F20"/>
          <w:sz w:val="20"/>
          <w:szCs w:val="20"/>
        </w:rPr>
        <w:t xml:space="preserve"> </w:t>
      </w:r>
      <w:r w:rsidRPr="002B2651">
        <w:rPr>
          <w:color w:val="231F20"/>
          <w:sz w:val="20"/>
          <w:szCs w:val="20"/>
        </w:rPr>
        <w:t xml:space="preserve">As </w:t>
      </w:r>
      <w:r w:rsidR="008B75BA" w:rsidRPr="002B2651">
        <w:rPr>
          <w:color w:val="231F20"/>
          <w:sz w:val="20"/>
          <w:szCs w:val="20"/>
        </w:rPr>
        <w:t xml:space="preserve">US </w:t>
      </w:r>
      <w:r w:rsidRPr="002B2651">
        <w:rPr>
          <w:color w:val="231F20"/>
          <w:sz w:val="20"/>
          <w:szCs w:val="20"/>
        </w:rPr>
        <w:t>Commissioner of Education</w:t>
      </w:r>
      <w:r w:rsidR="008B75BA" w:rsidRPr="002B2651">
        <w:rPr>
          <w:color w:val="231F20"/>
          <w:sz w:val="20"/>
          <w:szCs w:val="20"/>
        </w:rPr>
        <w:t xml:space="preserve"> in the late 1970s,</w:t>
      </w:r>
      <w:r w:rsidRPr="002B2651">
        <w:rPr>
          <w:color w:val="231F20"/>
          <w:sz w:val="20"/>
          <w:szCs w:val="20"/>
        </w:rPr>
        <w:t xml:space="preserve"> Bo</w:t>
      </w:r>
      <w:r w:rsidR="008B5363" w:rsidRPr="002B2651">
        <w:rPr>
          <w:sz w:val="20"/>
          <w:szCs w:val="20"/>
        </w:rPr>
        <w:t xml:space="preserve">yer </w:t>
      </w:r>
      <w:r w:rsidR="008B75BA" w:rsidRPr="002B2651">
        <w:rPr>
          <w:sz w:val="20"/>
          <w:szCs w:val="20"/>
        </w:rPr>
        <w:t xml:space="preserve">had </w:t>
      </w:r>
      <w:r w:rsidR="00477C96" w:rsidRPr="002B2651">
        <w:rPr>
          <w:sz w:val="20"/>
          <w:szCs w:val="20"/>
        </w:rPr>
        <w:t>s</w:t>
      </w:r>
      <w:r w:rsidRPr="002B2651">
        <w:rPr>
          <w:sz w:val="20"/>
          <w:szCs w:val="20"/>
        </w:rPr>
        <w:t>ought to shift f</w:t>
      </w:r>
      <w:r w:rsidR="008B5363" w:rsidRPr="002B2651">
        <w:rPr>
          <w:sz w:val="20"/>
          <w:szCs w:val="20"/>
        </w:rPr>
        <w:t>ederal prior</w:t>
      </w:r>
      <w:r w:rsidRPr="002B2651">
        <w:rPr>
          <w:sz w:val="20"/>
          <w:szCs w:val="20"/>
        </w:rPr>
        <w:t xml:space="preserve">ities from </w:t>
      </w:r>
      <w:r w:rsidR="00477C96" w:rsidRPr="002B2651">
        <w:rPr>
          <w:sz w:val="20"/>
          <w:szCs w:val="20"/>
        </w:rPr>
        <w:t>mere access to education</w:t>
      </w:r>
      <w:r w:rsidR="008B5363" w:rsidRPr="002B2651">
        <w:rPr>
          <w:sz w:val="20"/>
          <w:szCs w:val="20"/>
        </w:rPr>
        <w:t xml:space="preserve"> towards the promotion of educational excellen</w:t>
      </w:r>
      <w:r w:rsidR="00477C96" w:rsidRPr="002B2651">
        <w:rPr>
          <w:sz w:val="20"/>
          <w:szCs w:val="20"/>
        </w:rPr>
        <w:t xml:space="preserve">ce across the sector, </w:t>
      </w:r>
      <w:r w:rsidR="00477C96" w:rsidRPr="002B2651">
        <w:rPr>
          <w:sz w:val="20"/>
          <w:szCs w:val="20"/>
        </w:rPr>
        <w:lastRenderedPageBreak/>
        <w:t>linked t</w:t>
      </w:r>
      <w:r w:rsidR="008B5363" w:rsidRPr="002B2651">
        <w:rPr>
          <w:sz w:val="20"/>
          <w:szCs w:val="20"/>
        </w:rPr>
        <w:t>o the increasing demands of</w:t>
      </w:r>
      <w:r w:rsidRPr="002B2651">
        <w:rPr>
          <w:sz w:val="20"/>
          <w:szCs w:val="20"/>
        </w:rPr>
        <w:t xml:space="preserve"> what he referred to as the</w:t>
      </w:r>
      <w:r w:rsidR="00EB15E0" w:rsidRPr="002B2651">
        <w:rPr>
          <w:sz w:val="20"/>
          <w:szCs w:val="20"/>
        </w:rPr>
        <w:t xml:space="preserve"> </w:t>
      </w:r>
      <w:r w:rsidR="00260CFF" w:rsidRPr="002B2651">
        <w:rPr>
          <w:sz w:val="20"/>
          <w:szCs w:val="20"/>
        </w:rPr>
        <w:t>learning society</w:t>
      </w:r>
      <w:r w:rsidR="0098024D" w:rsidRPr="002B2651">
        <w:rPr>
          <w:sz w:val="20"/>
          <w:szCs w:val="20"/>
        </w:rPr>
        <w:t xml:space="preserve"> (Boyer 1978, 21-25). </w:t>
      </w:r>
      <w:proofErr w:type="gramStart"/>
      <w:r w:rsidR="0098024D" w:rsidRPr="002B2651">
        <w:rPr>
          <w:sz w:val="20"/>
          <w:szCs w:val="20"/>
        </w:rPr>
        <w:t xml:space="preserve">The National Commission on Excellence in Education was established shortly after </w:t>
      </w:r>
      <w:r w:rsidR="00477C96" w:rsidRPr="002B2651">
        <w:rPr>
          <w:sz w:val="20"/>
          <w:szCs w:val="20"/>
        </w:rPr>
        <w:t>Boyer</w:t>
      </w:r>
      <w:r w:rsidR="00205057" w:rsidRPr="002B2651">
        <w:rPr>
          <w:sz w:val="20"/>
          <w:szCs w:val="20"/>
        </w:rPr>
        <w:t xml:space="preserve"> retired as Commissioner in 1979 to take up the presidency of the </w:t>
      </w:r>
      <w:r w:rsidR="008B75BA" w:rsidRPr="002B2651">
        <w:rPr>
          <w:color w:val="231F20"/>
          <w:sz w:val="20"/>
          <w:szCs w:val="20"/>
        </w:rPr>
        <w:t xml:space="preserve">Carnegie Foundation for the Advancement of Teaching, </w:t>
      </w:r>
      <w:r w:rsidRPr="002B2651">
        <w:rPr>
          <w:sz w:val="20"/>
          <w:szCs w:val="20"/>
        </w:rPr>
        <w:t xml:space="preserve">and its </w:t>
      </w:r>
      <w:r w:rsidR="00701612" w:rsidRPr="002B2651">
        <w:rPr>
          <w:sz w:val="20"/>
          <w:szCs w:val="20"/>
        </w:rPr>
        <w:t>report</w:t>
      </w:r>
      <w:r w:rsidRPr="002B2651">
        <w:rPr>
          <w:sz w:val="20"/>
          <w:szCs w:val="20"/>
        </w:rPr>
        <w:t>,</w:t>
      </w:r>
      <w:r w:rsidR="008B5363" w:rsidRPr="002B2651">
        <w:rPr>
          <w:sz w:val="20"/>
          <w:szCs w:val="20"/>
        </w:rPr>
        <w:t xml:space="preserve"> </w:t>
      </w:r>
      <w:r w:rsidR="008B5363" w:rsidRPr="002B2651">
        <w:rPr>
          <w:i/>
          <w:sz w:val="20"/>
          <w:szCs w:val="20"/>
        </w:rPr>
        <w:t>A Nation at Risk: The Imperative for Educational Reform</w:t>
      </w:r>
      <w:r w:rsidR="00701612" w:rsidRPr="002B2651">
        <w:rPr>
          <w:i/>
          <w:sz w:val="20"/>
          <w:szCs w:val="20"/>
        </w:rPr>
        <w:t xml:space="preserve"> </w:t>
      </w:r>
      <w:r w:rsidR="00701612" w:rsidRPr="002B2651">
        <w:rPr>
          <w:sz w:val="20"/>
          <w:szCs w:val="20"/>
        </w:rPr>
        <w:t>(</w:t>
      </w:r>
      <w:r w:rsidR="00434E24" w:rsidRPr="002B2651">
        <w:rPr>
          <w:sz w:val="20"/>
          <w:szCs w:val="20"/>
        </w:rPr>
        <w:t xml:space="preserve">National Commission on Excellence in Education </w:t>
      </w:r>
      <w:r w:rsidR="00701612" w:rsidRPr="002B2651">
        <w:rPr>
          <w:sz w:val="20"/>
          <w:szCs w:val="20"/>
        </w:rPr>
        <w:t>1983, 13)</w:t>
      </w:r>
      <w:r w:rsidRPr="002B2651">
        <w:rPr>
          <w:sz w:val="20"/>
          <w:szCs w:val="20"/>
        </w:rPr>
        <w:t>,</w:t>
      </w:r>
      <w:r w:rsidR="00701612" w:rsidRPr="002B2651">
        <w:rPr>
          <w:sz w:val="20"/>
          <w:szCs w:val="20"/>
        </w:rPr>
        <w:t xml:space="preserve"> similarly</w:t>
      </w:r>
      <w:r w:rsidR="008B5363" w:rsidRPr="002B2651">
        <w:rPr>
          <w:sz w:val="20"/>
          <w:szCs w:val="20"/>
        </w:rPr>
        <w:t xml:space="preserve"> advocated</w:t>
      </w:r>
      <w:r w:rsidRPr="002B2651">
        <w:rPr>
          <w:sz w:val="20"/>
          <w:szCs w:val="20"/>
        </w:rPr>
        <w:t xml:space="preserve"> for a</w:t>
      </w:r>
      <w:r w:rsidR="008B5363" w:rsidRPr="002B2651">
        <w:rPr>
          <w:sz w:val="20"/>
          <w:szCs w:val="20"/>
        </w:rPr>
        <w:t xml:space="preserve"> principle of e</w:t>
      </w:r>
      <w:r w:rsidR="00701612" w:rsidRPr="002B2651">
        <w:rPr>
          <w:sz w:val="20"/>
          <w:szCs w:val="20"/>
        </w:rPr>
        <w:t>xcellence throughout education</w:t>
      </w:r>
      <w:r w:rsidRPr="002B2651">
        <w:rPr>
          <w:sz w:val="20"/>
          <w:szCs w:val="20"/>
        </w:rPr>
        <w:t xml:space="preserve">, defining a society that </w:t>
      </w:r>
      <w:r w:rsidR="00EB15E0" w:rsidRPr="002B2651">
        <w:rPr>
          <w:sz w:val="20"/>
          <w:szCs w:val="20"/>
        </w:rPr>
        <w:t xml:space="preserve">adopted such policies as a </w:t>
      </w:r>
      <w:r w:rsidR="00701612" w:rsidRPr="002B2651">
        <w:rPr>
          <w:sz w:val="20"/>
          <w:szCs w:val="20"/>
        </w:rPr>
        <w:t>learning society.</w:t>
      </w:r>
      <w:r w:rsidR="00E63431">
        <w:rPr>
          <w:rStyle w:val="FootnoteReference"/>
          <w:sz w:val="20"/>
          <w:szCs w:val="20"/>
        </w:rPr>
        <w:footnoteReference w:id="6"/>
      </w:r>
      <w:proofErr w:type="gramEnd"/>
      <w:r w:rsidR="00701612" w:rsidRPr="002B2651">
        <w:rPr>
          <w:sz w:val="20"/>
          <w:szCs w:val="20"/>
        </w:rPr>
        <w:t xml:space="preserve"> </w:t>
      </w:r>
    </w:p>
    <w:p w14:paraId="2940959A" w14:textId="77777777" w:rsidR="00D25A36" w:rsidRPr="002B2651" w:rsidRDefault="00D25A36" w:rsidP="005D13E2">
      <w:pPr>
        <w:pStyle w:val="NormalWeb"/>
        <w:shd w:val="clear" w:color="auto" w:fill="FFFFFF"/>
        <w:spacing w:before="0" w:beforeAutospacing="0" w:after="0" w:afterAutospacing="0" w:line="480" w:lineRule="auto"/>
        <w:textAlignment w:val="baseline"/>
        <w:rPr>
          <w:sz w:val="20"/>
          <w:szCs w:val="20"/>
        </w:rPr>
      </w:pPr>
    </w:p>
    <w:p w14:paraId="5B3C4411" w14:textId="0B6BC42B" w:rsidR="008B75BA" w:rsidRPr="002B2651" w:rsidRDefault="00F23152" w:rsidP="00712670">
      <w:pPr>
        <w:pStyle w:val="NormalWeb"/>
        <w:shd w:val="clear" w:color="auto" w:fill="FFFFFF"/>
        <w:spacing w:before="0" w:beforeAutospacing="0" w:after="0" w:afterAutospacing="0" w:line="480" w:lineRule="auto"/>
        <w:textAlignment w:val="baseline"/>
        <w:rPr>
          <w:color w:val="231F20"/>
          <w:sz w:val="20"/>
          <w:szCs w:val="20"/>
        </w:rPr>
      </w:pPr>
      <w:proofErr w:type="spellStart"/>
      <w:r w:rsidRPr="002B2651">
        <w:rPr>
          <w:color w:val="231F20"/>
          <w:sz w:val="20"/>
          <w:szCs w:val="20"/>
        </w:rPr>
        <w:t>Readings’</w:t>
      </w:r>
      <w:r w:rsidR="003F1A8C" w:rsidRPr="002B2651">
        <w:rPr>
          <w:color w:val="231F20"/>
          <w:sz w:val="20"/>
          <w:szCs w:val="20"/>
        </w:rPr>
        <w:t>s</w:t>
      </w:r>
      <w:proofErr w:type="spellEnd"/>
      <w:r w:rsidR="00180980" w:rsidRPr="002B2651">
        <w:rPr>
          <w:color w:val="231F20"/>
          <w:sz w:val="20"/>
          <w:szCs w:val="20"/>
        </w:rPr>
        <w:t xml:space="preserve"> description</w:t>
      </w:r>
      <w:r w:rsidRPr="002B2651">
        <w:rPr>
          <w:color w:val="231F20"/>
          <w:sz w:val="20"/>
          <w:szCs w:val="20"/>
        </w:rPr>
        <w:t xml:space="preserve"> of the more general </w:t>
      </w:r>
      <w:r w:rsidR="008A4E22" w:rsidRPr="002B2651">
        <w:rPr>
          <w:color w:val="231F20"/>
          <w:sz w:val="20"/>
          <w:szCs w:val="20"/>
        </w:rPr>
        <w:t>spread of this</w:t>
      </w:r>
      <w:r w:rsidRPr="002B2651">
        <w:rPr>
          <w:color w:val="231F20"/>
          <w:sz w:val="20"/>
          <w:szCs w:val="20"/>
        </w:rPr>
        <w:t xml:space="preserve"> discourse</w:t>
      </w:r>
      <w:r w:rsidR="000022D0">
        <w:rPr>
          <w:color w:val="231F20"/>
          <w:sz w:val="20"/>
          <w:szCs w:val="20"/>
        </w:rPr>
        <w:t xml:space="preserve"> of excellence as a process of ‘Americanization’</w:t>
      </w:r>
      <w:r w:rsidRPr="002B2651">
        <w:rPr>
          <w:color w:val="231F20"/>
          <w:sz w:val="20"/>
          <w:szCs w:val="20"/>
        </w:rPr>
        <w:t xml:space="preserve"> finds</w:t>
      </w:r>
      <w:r w:rsidR="00701612" w:rsidRPr="002B2651">
        <w:rPr>
          <w:color w:val="231F20"/>
          <w:sz w:val="20"/>
          <w:szCs w:val="20"/>
        </w:rPr>
        <w:t xml:space="preserve"> further</w:t>
      </w:r>
      <w:r w:rsidRPr="002B2651">
        <w:rPr>
          <w:color w:val="231F20"/>
          <w:sz w:val="20"/>
          <w:szCs w:val="20"/>
        </w:rPr>
        <w:t xml:space="preserve"> support in Boyer’s own preoccupation with </w:t>
      </w:r>
      <w:r w:rsidR="00180980" w:rsidRPr="002B2651">
        <w:rPr>
          <w:color w:val="231F20"/>
          <w:sz w:val="20"/>
          <w:szCs w:val="20"/>
        </w:rPr>
        <w:t xml:space="preserve">the </w:t>
      </w:r>
      <w:r w:rsidR="008A4E22" w:rsidRPr="002B2651">
        <w:rPr>
          <w:color w:val="231F20"/>
          <w:sz w:val="20"/>
          <w:szCs w:val="20"/>
        </w:rPr>
        <w:t xml:space="preserve">historical and </w:t>
      </w:r>
      <w:r w:rsidR="00180980" w:rsidRPr="002B2651">
        <w:rPr>
          <w:color w:val="231F20"/>
          <w:sz w:val="20"/>
          <w:szCs w:val="20"/>
        </w:rPr>
        <w:t xml:space="preserve">national characteristics of </w:t>
      </w:r>
      <w:r w:rsidR="0098024D" w:rsidRPr="002B2651">
        <w:rPr>
          <w:color w:val="231F20"/>
          <w:sz w:val="20"/>
          <w:szCs w:val="20"/>
        </w:rPr>
        <w:t xml:space="preserve">scholarship within </w:t>
      </w:r>
      <w:r w:rsidR="00180980" w:rsidRPr="002B2651">
        <w:rPr>
          <w:color w:val="231F20"/>
          <w:sz w:val="20"/>
          <w:szCs w:val="20"/>
        </w:rPr>
        <w:t xml:space="preserve">the </w:t>
      </w:r>
      <w:r w:rsidR="00701612" w:rsidRPr="002B2651">
        <w:rPr>
          <w:color w:val="231F20"/>
          <w:sz w:val="20"/>
          <w:szCs w:val="20"/>
        </w:rPr>
        <w:t xml:space="preserve">American </w:t>
      </w:r>
      <w:r w:rsidR="00180980" w:rsidRPr="002B2651">
        <w:rPr>
          <w:color w:val="231F20"/>
          <w:sz w:val="20"/>
          <w:szCs w:val="20"/>
        </w:rPr>
        <w:t xml:space="preserve">university. </w:t>
      </w:r>
      <w:proofErr w:type="gramStart"/>
      <w:r w:rsidR="00180980" w:rsidRPr="002B2651">
        <w:rPr>
          <w:color w:val="231F20"/>
          <w:sz w:val="20"/>
          <w:szCs w:val="20"/>
        </w:rPr>
        <w:t>Charting the historical</w:t>
      </w:r>
      <w:r w:rsidR="00701612" w:rsidRPr="002B2651">
        <w:rPr>
          <w:color w:val="231F20"/>
          <w:sz w:val="20"/>
          <w:szCs w:val="20"/>
        </w:rPr>
        <w:t xml:space="preserve"> transformation of higher education in the US</w:t>
      </w:r>
      <w:r w:rsidR="00180980" w:rsidRPr="002B2651">
        <w:rPr>
          <w:color w:val="231F20"/>
          <w:sz w:val="20"/>
          <w:szCs w:val="20"/>
        </w:rPr>
        <w:t xml:space="preserve"> </w:t>
      </w:r>
      <w:r w:rsidR="000022D0">
        <w:rPr>
          <w:color w:val="231F20"/>
          <w:sz w:val="20"/>
          <w:szCs w:val="20"/>
        </w:rPr>
        <w:t>from the legacy of the British ‘</w:t>
      </w:r>
      <w:r w:rsidR="00180980" w:rsidRPr="002B2651">
        <w:rPr>
          <w:color w:val="231F20"/>
          <w:sz w:val="20"/>
          <w:szCs w:val="20"/>
        </w:rPr>
        <w:t>colonial college</w:t>
      </w:r>
      <w:r w:rsidR="00701612" w:rsidRPr="002B2651">
        <w:rPr>
          <w:color w:val="231F20"/>
          <w:sz w:val="20"/>
          <w:szCs w:val="20"/>
        </w:rPr>
        <w:t>,</w:t>
      </w:r>
      <w:r w:rsidR="000022D0">
        <w:rPr>
          <w:color w:val="231F20"/>
          <w:sz w:val="20"/>
          <w:szCs w:val="20"/>
        </w:rPr>
        <w:t>’</w:t>
      </w:r>
      <w:r w:rsidR="00180980" w:rsidRPr="002B2651">
        <w:rPr>
          <w:color w:val="231F20"/>
          <w:sz w:val="20"/>
          <w:szCs w:val="20"/>
        </w:rPr>
        <w:t xml:space="preserve"> focused on teaching character for leadership, v</w:t>
      </w:r>
      <w:r w:rsidR="00701612" w:rsidRPr="002B2651">
        <w:rPr>
          <w:color w:val="231F20"/>
          <w:sz w:val="20"/>
          <w:szCs w:val="20"/>
        </w:rPr>
        <w:t>ia the emergence of the</w:t>
      </w:r>
      <w:r w:rsidR="00180980" w:rsidRPr="002B2651">
        <w:rPr>
          <w:color w:val="231F20"/>
          <w:sz w:val="20"/>
          <w:szCs w:val="20"/>
        </w:rPr>
        <w:t xml:space="preserve"> service institute focused on applied research for </w:t>
      </w:r>
      <w:r w:rsidR="00701612" w:rsidRPr="002B2651">
        <w:rPr>
          <w:color w:val="231F20"/>
          <w:sz w:val="20"/>
          <w:szCs w:val="20"/>
        </w:rPr>
        <w:t xml:space="preserve">nation-building, </w:t>
      </w:r>
      <w:r w:rsidR="00180980" w:rsidRPr="002B2651">
        <w:rPr>
          <w:color w:val="231F20"/>
          <w:sz w:val="20"/>
          <w:szCs w:val="20"/>
        </w:rPr>
        <w:t>to the dominance of the Ge</w:t>
      </w:r>
      <w:r w:rsidR="004B04AB">
        <w:rPr>
          <w:color w:val="231F20"/>
          <w:sz w:val="20"/>
          <w:szCs w:val="20"/>
        </w:rPr>
        <w:t xml:space="preserve">rman research university, Boyer’s </w:t>
      </w:r>
      <w:r w:rsidR="004B04AB">
        <w:rPr>
          <w:i/>
          <w:color w:val="231F20"/>
          <w:sz w:val="20"/>
          <w:szCs w:val="20"/>
        </w:rPr>
        <w:t xml:space="preserve">Scholarship Reconsidered </w:t>
      </w:r>
      <w:r w:rsidR="0098024D" w:rsidRPr="002B2651">
        <w:rPr>
          <w:color w:val="231F20"/>
          <w:sz w:val="20"/>
          <w:szCs w:val="20"/>
        </w:rPr>
        <w:t>(</w:t>
      </w:r>
      <w:r w:rsidR="00F72BA6" w:rsidRPr="002B2651">
        <w:rPr>
          <w:color w:val="231F20"/>
          <w:sz w:val="20"/>
          <w:szCs w:val="20"/>
        </w:rPr>
        <w:t>1990,</w:t>
      </w:r>
      <w:r w:rsidR="0098024D" w:rsidRPr="002B2651">
        <w:rPr>
          <w:color w:val="231F20"/>
          <w:sz w:val="20"/>
          <w:szCs w:val="20"/>
        </w:rPr>
        <w:t xml:space="preserve"> 3-13</w:t>
      </w:r>
      <w:r w:rsidR="00F72BA6" w:rsidRPr="002B2651">
        <w:rPr>
          <w:color w:val="231F20"/>
          <w:sz w:val="20"/>
          <w:szCs w:val="20"/>
        </w:rPr>
        <w:t xml:space="preserve">) </w:t>
      </w:r>
      <w:r w:rsidR="00180980" w:rsidRPr="002B2651">
        <w:rPr>
          <w:color w:val="231F20"/>
          <w:sz w:val="20"/>
          <w:szCs w:val="20"/>
        </w:rPr>
        <w:t>plots a shift in the functi</w:t>
      </w:r>
      <w:r w:rsidR="00701612" w:rsidRPr="002B2651">
        <w:rPr>
          <w:color w:val="231F20"/>
          <w:sz w:val="20"/>
          <w:szCs w:val="20"/>
        </w:rPr>
        <w:t xml:space="preserve">on of the university away from </w:t>
      </w:r>
      <w:r w:rsidR="00180980" w:rsidRPr="002B2651">
        <w:rPr>
          <w:color w:val="231F20"/>
          <w:sz w:val="20"/>
          <w:szCs w:val="20"/>
        </w:rPr>
        <w:t>teaching to research</w:t>
      </w:r>
      <w:r w:rsidR="00701612" w:rsidRPr="002B2651">
        <w:rPr>
          <w:color w:val="231F20"/>
          <w:sz w:val="20"/>
          <w:szCs w:val="20"/>
        </w:rPr>
        <w:t xml:space="preserve"> partly attributed to the influence of the German model</w:t>
      </w:r>
      <w:r w:rsidR="00A156D0" w:rsidRPr="002B2651">
        <w:rPr>
          <w:color w:val="231F20"/>
          <w:sz w:val="20"/>
          <w:szCs w:val="20"/>
        </w:rPr>
        <w:t>.</w:t>
      </w:r>
      <w:proofErr w:type="gramEnd"/>
      <w:r w:rsidR="008B75BA" w:rsidRPr="002B2651">
        <w:rPr>
          <w:color w:val="231F20"/>
          <w:sz w:val="20"/>
          <w:szCs w:val="20"/>
        </w:rPr>
        <w:t xml:space="preserve"> </w:t>
      </w:r>
    </w:p>
    <w:p w14:paraId="167F8F6B" w14:textId="77777777" w:rsidR="008B75BA" w:rsidRPr="002B2651" w:rsidRDefault="008B75BA" w:rsidP="00712670">
      <w:pPr>
        <w:pStyle w:val="NormalWeb"/>
        <w:shd w:val="clear" w:color="auto" w:fill="FFFFFF"/>
        <w:spacing w:before="0" w:beforeAutospacing="0" w:after="0" w:afterAutospacing="0" w:line="480" w:lineRule="auto"/>
        <w:textAlignment w:val="baseline"/>
        <w:rPr>
          <w:color w:val="231F20"/>
          <w:sz w:val="20"/>
          <w:szCs w:val="20"/>
        </w:rPr>
      </w:pPr>
    </w:p>
    <w:p w14:paraId="7C2FBE03" w14:textId="4DA440D7" w:rsidR="00712670" w:rsidRPr="002B2651" w:rsidRDefault="00FE41BD" w:rsidP="00712670">
      <w:pPr>
        <w:pStyle w:val="NormalWeb"/>
        <w:shd w:val="clear" w:color="auto" w:fill="FFFFFF"/>
        <w:spacing w:before="0" w:beforeAutospacing="0" w:after="0" w:afterAutospacing="0" w:line="480" w:lineRule="auto"/>
        <w:textAlignment w:val="baseline"/>
        <w:rPr>
          <w:color w:val="231F20"/>
          <w:sz w:val="20"/>
          <w:szCs w:val="20"/>
        </w:rPr>
      </w:pPr>
      <w:r w:rsidRPr="002B2651">
        <w:rPr>
          <w:color w:val="231F20"/>
          <w:sz w:val="20"/>
          <w:szCs w:val="20"/>
        </w:rPr>
        <w:t>Boyer</w:t>
      </w:r>
      <w:r w:rsidR="00256D56" w:rsidRPr="002B2651">
        <w:rPr>
          <w:color w:val="231F20"/>
          <w:sz w:val="20"/>
          <w:szCs w:val="20"/>
        </w:rPr>
        <w:t>’s ca</w:t>
      </w:r>
      <w:r w:rsidRPr="002B2651">
        <w:rPr>
          <w:color w:val="231F20"/>
          <w:sz w:val="20"/>
          <w:szCs w:val="20"/>
        </w:rPr>
        <w:t>ll for an expanded concepti</w:t>
      </w:r>
      <w:r w:rsidR="00701612" w:rsidRPr="002B2651">
        <w:rPr>
          <w:color w:val="231F20"/>
          <w:sz w:val="20"/>
          <w:szCs w:val="20"/>
        </w:rPr>
        <w:t xml:space="preserve">on of scholarship to recalibrate </w:t>
      </w:r>
      <w:r w:rsidRPr="002B2651">
        <w:rPr>
          <w:color w:val="231F20"/>
          <w:sz w:val="20"/>
          <w:szCs w:val="20"/>
        </w:rPr>
        <w:t>the</w:t>
      </w:r>
      <w:r w:rsidR="00701612" w:rsidRPr="002B2651">
        <w:rPr>
          <w:color w:val="231F20"/>
          <w:sz w:val="20"/>
          <w:szCs w:val="20"/>
        </w:rPr>
        <w:t xml:space="preserve"> relationship between teaching and </w:t>
      </w:r>
      <w:r w:rsidRPr="002B2651">
        <w:rPr>
          <w:color w:val="231F20"/>
          <w:sz w:val="20"/>
          <w:szCs w:val="20"/>
        </w:rPr>
        <w:t xml:space="preserve">research </w:t>
      </w:r>
      <w:r w:rsidR="00DB48AA" w:rsidRPr="002B2651">
        <w:rPr>
          <w:color w:val="231F20"/>
          <w:sz w:val="20"/>
          <w:szCs w:val="20"/>
        </w:rPr>
        <w:t xml:space="preserve">therefore </w:t>
      </w:r>
      <w:r w:rsidR="00FC226C" w:rsidRPr="002B2651">
        <w:rPr>
          <w:color w:val="231F20"/>
          <w:sz w:val="20"/>
          <w:szCs w:val="20"/>
        </w:rPr>
        <w:t xml:space="preserve">reflects </w:t>
      </w:r>
      <w:r w:rsidR="00DB48AA" w:rsidRPr="002B2651">
        <w:rPr>
          <w:color w:val="231F20"/>
          <w:sz w:val="20"/>
          <w:szCs w:val="20"/>
        </w:rPr>
        <w:t xml:space="preserve">an anxiety over the development of </w:t>
      </w:r>
      <w:r w:rsidR="00256D56" w:rsidRPr="002B2651">
        <w:rPr>
          <w:color w:val="231F20"/>
          <w:sz w:val="20"/>
          <w:szCs w:val="20"/>
        </w:rPr>
        <w:t xml:space="preserve">teaching </w:t>
      </w:r>
      <w:r w:rsidR="00FC226C" w:rsidRPr="002B2651">
        <w:rPr>
          <w:color w:val="231F20"/>
          <w:sz w:val="20"/>
          <w:szCs w:val="20"/>
        </w:rPr>
        <w:t>excellence</w:t>
      </w:r>
      <w:r w:rsidRPr="002B2651">
        <w:rPr>
          <w:color w:val="231F20"/>
          <w:sz w:val="20"/>
          <w:szCs w:val="20"/>
        </w:rPr>
        <w:t xml:space="preserve"> </w:t>
      </w:r>
      <w:r w:rsidR="00FC226C" w:rsidRPr="002B2651">
        <w:rPr>
          <w:color w:val="231F20"/>
          <w:sz w:val="20"/>
          <w:szCs w:val="20"/>
        </w:rPr>
        <w:t>with</w:t>
      </w:r>
      <w:r w:rsidR="00F72BA6" w:rsidRPr="002B2651">
        <w:rPr>
          <w:color w:val="231F20"/>
          <w:sz w:val="20"/>
          <w:szCs w:val="20"/>
        </w:rPr>
        <w:t xml:space="preserve">in a specifically </w:t>
      </w:r>
      <w:r w:rsidR="00FC226C" w:rsidRPr="002B2651">
        <w:rPr>
          <w:color w:val="231F20"/>
          <w:sz w:val="20"/>
          <w:szCs w:val="20"/>
        </w:rPr>
        <w:t>American</w:t>
      </w:r>
      <w:r w:rsidR="00DB48AA" w:rsidRPr="002B2651">
        <w:rPr>
          <w:color w:val="231F20"/>
          <w:sz w:val="20"/>
          <w:szCs w:val="20"/>
        </w:rPr>
        <w:t xml:space="preserve"> context</w:t>
      </w:r>
      <w:r w:rsidR="00FC226C" w:rsidRPr="002B2651">
        <w:rPr>
          <w:color w:val="231F20"/>
          <w:sz w:val="20"/>
          <w:szCs w:val="20"/>
        </w:rPr>
        <w:t xml:space="preserve"> of a mass, democratic system</w:t>
      </w:r>
      <w:r w:rsidR="00DB48AA" w:rsidRPr="002B2651">
        <w:rPr>
          <w:color w:val="231F20"/>
          <w:sz w:val="20"/>
          <w:szCs w:val="20"/>
        </w:rPr>
        <w:t xml:space="preserve"> of higher education. </w:t>
      </w:r>
      <w:proofErr w:type="gramStart"/>
      <w:r w:rsidR="00DB48AA" w:rsidRPr="002B2651">
        <w:rPr>
          <w:color w:val="231F20"/>
          <w:sz w:val="20"/>
          <w:szCs w:val="20"/>
        </w:rPr>
        <w:t>T</w:t>
      </w:r>
      <w:r w:rsidR="00256D56" w:rsidRPr="002B2651">
        <w:rPr>
          <w:color w:val="231F20"/>
          <w:sz w:val="20"/>
          <w:szCs w:val="20"/>
        </w:rPr>
        <w:t>he reports of the Carnegie Foundation</w:t>
      </w:r>
      <w:r w:rsidR="004B04AB">
        <w:rPr>
          <w:color w:val="231F20"/>
          <w:sz w:val="20"/>
          <w:szCs w:val="20"/>
        </w:rPr>
        <w:t xml:space="preserve"> </w:t>
      </w:r>
      <w:r w:rsidR="004B04AB" w:rsidRPr="002B2651">
        <w:rPr>
          <w:color w:val="231F20"/>
          <w:sz w:val="20"/>
          <w:szCs w:val="20"/>
        </w:rPr>
        <w:t>(</w:t>
      </w:r>
      <w:r w:rsidR="004B04AB" w:rsidRPr="002B2651">
        <w:rPr>
          <w:sz w:val="20"/>
          <w:szCs w:val="20"/>
        </w:rPr>
        <w:t>Carnegie Foundation for the Advancement of Teaching 1985</w:t>
      </w:r>
      <w:r w:rsidR="004B04AB">
        <w:rPr>
          <w:sz w:val="20"/>
          <w:szCs w:val="20"/>
        </w:rPr>
        <w:t xml:space="preserve">; </w:t>
      </w:r>
      <w:r w:rsidR="004B04AB" w:rsidRPr="002B2651">
        <w:rPr>
          <w:color w:val="231F20"/>
          <w:sz w:val="20"/>
          <w:szCs w:val="20"/>
        </w:rPr>
        <w:t>Boyer 1985a, 16</w:t>
      </w:r>
      <w:r w:rsidR="004B04AB">
        <w:rPr>
          <w:color w:val="231F20"/>
          <w:sz w:val="20"/>
          <w:szCs w:val="20"/>
        </w:rPr>
        <w:t>; Boyer 1985b, ix</w:t>
      </w:r>
      <w:r w:rsidR="004B04AB" w:rsidRPr="002B2651">
        <w:rPr>
          <w:color w:val="231F20"/>
          <w:sz w:val="20"/>
          <w:szCs w:val="20"/>
        </w:rPr>
        <w:t>)</w:t>
      </w:r>
      <w:r w:rsidR="00DB48AA" w:rsidRPr="002B2651">
        <w:rPr>
          <w:color w:val="231F20"/>
          <w:sz w:val="20"/>
          <w:szCs w:val="20"/>
        </w:rPr>
        <w:t>, for example,</w:t>
      </w:r>
      <w:r w:rsidR="00256D56" w:rsidRPr="002B2651">
        <w:rPr>
          <w:color w:val="231F20"/>
          <w:sz w:val="20"/>
          <w:szCs w:val="20"/>
        </w:rPr>
        <w:t xml:space="preserve"> </w:t>
      </w:r>
      <w:r w:rsidR="006154DA" w:rsidRPr="002B2651">
        <w:rPr>
          <w:color w:val="231F20"/>
          <w:sz w:val="20"/>
          <w:szCs w:val="20"/>
        </w:rPr>
        <w:t>repeatedly emphasize the national charac</w:t>
      </w:r>
      <w:r w:rsidR="00A40FE2" w:rsidRPr="002B2651">
        <w:rPr>
          <w:color w:val="231F20"/>
          <w:sz w:val="20"/>
          <w:szCs w:val="20"/>
        </w:rPr>
        <w:t>teristics of</w:t>
      </w:r>
      <w:r w:rsidR="00256D56" w:rsidRPr="002B2651">
        <w:rPr>
          <w:color w:val="231F20"/>
          <w:sz w:val="20"/>
          <w:szCs w:val="20"/>
        </w:rPr>
        <w:t xml:space="preserve"> such a vision, </w:t>
      </w:r>
      <w:r w:rsidR="00A40FE2" w:rsidRPr="002B2651">
        <w:rPr>
          <w:color w:val="231F20"/>
          <w:sz w:val="20"/>
          <w:szCs w:val="20"/>
        </w:rPr>
        <w:t>citing George Washington, Thomas Jefferson</w:t>
      </w:r>
      <w:r w:rsidR="004B04AB">
        <w:rPr>
          <w:color w:val="231F20"/>
          <w:sz w:val="20"/>
          <w:szCs w:val="20"/>
        </w:rPr>
        <w:t xml:space="preserve"> and</w:t>
      </w:r>
      <w:r w:rsidR="00256D56" w:rsidRPr="002B2651">
        <w:rPr>
          <w:color w:val="231F20"/>
          <w:sz w:val="20"/>
          <w:szCs w:val="20"/>
        </w:rPr>
        <w:t xml:space="preserve"> </w:t>
      </w:r>
      <w:r w:rsidR="00ED40FA" w:rsidRPr="002B2651">
        <w:rPr>
          <w:color w:val="231F20"/>
          <w:sz w:val="20"/>
          <w:szCs w:val="20"/>
        </w:rPr>
        <w:t>the belief that ‘America began with the conviction that for democracy to work, education is essential’</w:t>
      </w:r>
      <w:r w:rsidR="00A40FE2" w:rsidRPr="002B2651">
        <w:rPr>
          <w:color w:val="231F20"/>
          <w:sz w:val="20"/>
          <w:szCs w:val="20"/>
        </w:rPr>
        <w:t xml:space="preserve"> </w:t>
      </w:r>
      <w:r w:rsidR="004B04AB">
        <w:rPr>
          <w:color w:val="231F20"/>
          <w:sz w:val="20"/>
          <w:szCs w:val="20"/>
        </w:rPr>
        <w:t>because</w:t>
      </w:r>
      <w:r w:rsidR="00256D56" w:rsidRPr="002B2651">
        <w:rPr>
          <w:color w:val="231F20"/>
          <w:sz w:val="20"/>
          <w:szCs w:val="20"/>
        </w:rPr>
        <w:t xml:space="preserve"> a nation’s</w:t>
      </w:r>
      <w:r w:rsidR="00E44FA2" w:rsidRPr="002B2651">
        <w:rPr>
          <w:color w:val="231F20"/>
          <w:sz w:val="20"/>
          <w:szCs w:val="20"/>
        </w:rPr>
        <w:t xml:space="preserve"> ‘greatest strength is not its weapons, but its people…</w:t>
      </w:r>
      <w:proofErr w:type="gramEnd"/>
      <w:r w:rsidR="00E44FA2" w:rsidRPr="002B2651">
        <w:rPr>
          <w:color w:val="231F20"/>
          <w:sz w:val="20"/>
          <w:szCs w:val="20"/>
        </w:rPr>
        <w:t xml:space="preserve"> Education is, as it has always been, an investme</w:t>
      </w:r>
      <w:r w:rsidR="004B04AB">
        <w:rPr>
          <w:color w:val="231F20"/>
          <w:sz w:val="20"/>
          <w:szCs w:val="20"/>
        </w:rPr>
        <w:t xml:space="preserve">nt in the future of the nation. </w:t>
      </w:r>
      <w:proofErr w:type="gramStart"/>
      <w:r w:rsidR="004B04AB">
        <w:rPr>
          <w:color w:val="231F20"/>
          <w:sz w:val="20"/>
          <w:szCs w:val="20"/>
        </w:rPr>
        <w:t>The</w:t>
      </w:r>
      <w:r w:rsidR="00712670" w:rsidRPr="002B2651">
        <w:rPr>
          <w:sz w:val="20"/>
          <w:szCs w:val="20"/>
        </w:rPr>
        <w:t xml:space="preserve"> National Commission on Excellence in Education </w:t>
      </w:r>
      <w:r w:rsidR="00434E24" w:rsidRPr="002B2651">
        <w:rPr>
          <w:sz w:val="20"/>
          <w:szCs w:val="20"/>
        </w:rPr>
        <w:t xml:space="preserve">(1983, 13-17) </w:t>
      </w:r>
      <w:r w:rsidR="00712670" w:rsidRPr="002B2651">
        <w:rPr>
          <w:sz w:val="20"/>
          <w:szCs w:val="20"/>
        </w:rPr>
        <w:t xml:space="preserve">defines ‘a </w:t>
      </w:r>
      <w:r w:rsidR="00712670" w:rsidRPr="002B2651">
        <w:rPr>
          <w:i/>
          <w:sz w:val="20"/>
          <w:szCs w:val="20"/>
        </w:rPr>
        <w:t>society</w:t>
      </w:r>
      <w:r w:rsidR="00712670" w:rsidRPr="002B2651">
        <w:rPr>
          <w:sz w:val="20"/>
          <w:szCs w:val="20"/>
        </w:rPr>
        <w:t xml:space="preserve"> that has adopted …policies’ towar</w:t>
      </w:r>
      <w:r w:rsidR="00EB15E0" w:rsidRPr="002B2651">
        <w:rPr>
          <w:sz w:val="20"/>
          <w:szCs w:val="20"/>
        </w:rPr>
        <w:t xml:space="preserve">ds educational excellence as a </w:t>
      </w:r>
      <w:r w:rsidR="00712670" w:rsidRPr="002B2651">
        <w:rPr>
          <w:sz w:val="20"/>
          <w:szCs w:val="20"/>
        </w:rPr>
        <w:t>learning society and defends the need for educational reform on the basis</w:t>
      </w:r>
      <w:r w:rsidR="00341789" w:rsidRPr="002B2651">
        <w:rPr>
          <w:sz w:val="20"/>
          <w:szCs w:val="20"/>
        </w:rPr>
        <w:t xml:space="preserve"> of “patriotism”: ‘C</w:t>
      </w:r>
      <w:r w:rsidR="00712670" w:rsidRPr="002B2651">
        <w:rPr>
          <w:sz w:val="20"/>
          <w:szCs w:val="20"/>
        </w:rPr>
        <w:t xml:space="preserve">itizens know intuitively what some of the best </w:t>
      </w:r>
      <w:r w:rsidR="00712670" w:rsidRPr="002B2651">
        <w:rPr>
          <w:sz w:val="20"/>
          <w:szCs w:val="20"/>
        </w:rPr>
        <w:lastRenderedPageBreak/>
        <w:t>economists have shown in their research, that education is one of the chief engines of a society’s material well-being’ and it ‘is, therefore, essential… for government at all levels to affirm its responsibility for nurturing th</w:t>
      </w:r>
      <w:r w:rsidR="00434E24" w:rsidRPr="002B2651">
        <w:rPr>
          <w:sz w:val="20"/>
          <w:szCs w:val="20"/>
        </w:rPr>
        <w:t>e Nation’s intellectual capital.’</w:t>
      </w:r>
      <w:proofErr w:type="gramEnd"/>
      <w:r w:rsidR="00712670" w:rsidRPr="002B2651">
        <w:rPr>
          <w:sz w:val="20"/>
          <w:szCs w:val="20"/>
        </w:rPr>
        <w:t xml:space="preserve"> </w:t>
      </w:r>
    </w:p>
    <w:p w14:paraId="624AB9FC" w14:textId="45966FFA" w:rsidR="00023803" w:rsidRPr="002B2651" w:rsidRDefault="00023803" w:rsidP="00256D56">
      <w:pPr>
        <w:pStyle w:val="NormalWeb"/>
        <w:shd w:val="clear" w:color="auto" w:fill="FFFFFF"/>
        <w:spacing w:before="0" w:beforeAutospacing="0" w:after="0" w:afterAutospacing="0" w:line="480" w:lineRule="auto"/>
        <w:textAlignment w:val="baseline"/>
        <w:rPr>
          <w:color w:val="231F20"/>
          <w:sz w:val="20"/>
          <w:szCs w:val="20"/>
        </w:rPr>
      </w:pPr>
    </w:p>
    <w:p w14:paraId="3BC5F989" w14:textId="2A0B67FA" w:rsidR="00260CFF" w:rsidRPr="002B2651" w:rsidRDefault="00963EA0" w:rsidP="00BA1931">
      <w:pPr>
        <w:pStyle w:val="NormalWeb"/>
        <w:numPr>
          <w:ilvl w:val="0"/>
          <w:numId w:val="14"/>
        </w:numPr>
        <w:shd w:val="clear" w:color="auto" w:fill="FFFFFF"/>
        <w:spacing w:before="0" w:beforeAutospacing="0" w:after="0" w:afterAutospacing="0" w:line="480" w:lineRule="auto"/>
        <w:textAlignment w:val="baseline"/>
        <w:rPr>
          <w:b/>
          <w:color w:val="231F20"/>
          <w:sz w:val="20"/>
          <w:szCs w:val="20"/>
        </w:rPr>
      </w:pPr>
      <w:r>
        <w:rPr>
          <w:b/>
          <w:color w:val="231F20"/>
          <w:sz w:val="20"/>
          <w:szCs w:val="20"/>
        </w:rPr>
        <w:t>The Learning Society, Human Capital and Research-Led Teaching Excellence</w:t>
      </w:r>
    </w:p>
    <w:p w14:paraId="42EFB0AD" w14:textId="1BE848D1" w:rsidR="00563038" w:rsidRPr="002B2651" w:rsidRDefault="00DB48AA" w:rsidP="009F79CF">
      <w:pPr>
        <w:autoSpaceDE w:val="0"/>
        <w:autoSpaceDN w:val="0"/>
        <w:adjustRightInd w:val="0"/>
        <w:spacing w:line="480" w:lineRule="auto"/>
        <w:rPr>
          <w:sz w:val="20"/>
          <w:szCs w:val="20"/>
        </w:rPr>
      </w:pPr>
      <w:r w:rsidRPr="002B2651">
        <w:rPr>
          <w:color w:val="231F20"/>
          <w:sz w:val="20"/>
          <w:szCs w:val="20"/>
        </w:rPr>
        <w:t>The subsequent influence of this</w:t>
      </w:r>
      <w:r w:rsidR="00FC226C" w:rsidRPr="002B2651">
        <w:rPr>
          <w:color w:val="231F20"/>
          <w:sz w:val="20"/>
          <w:szCs w:val="20"/>
        </w:rPr>
        <w:t xml:space="preserve"> </w:t>
      </w:r>
      <w:r w:rsidR="00450F37" w:rsidRPr="002B2651">
        <w:rPr>
          <w:color w:val="231F20"/>
          <w:sz w:val="20"/>
          <w:szCs w:val="20"/>
        </w:rPr>
        <w:t>American</w:t>
      </w:r>
      <w:r w:rsidR="00023803" w:rsidRPr="002B2651">
        <w:rPr>
          <w:color w:val="231F20"/>
          <w:sz w:val="20"/>
          <w:szCs w:val="20"/>
        </w:rPr>
        <w:t xml:space="preserve"> model </w:t>
      </w:r>
      <w:r w:rsidR="00260CFF" w:rsidRPr="002B2651">
        <w:rPr>
          <w:color w:val="231F20"/>
          <w:sz w:val="20"/>
          <w:szCs w:val="20"/>
        </w:rPr>
        <w:t xml:space="preserve">of teaching excellence upon the Dearing Report </w:t>
      </w:r>
      <w:r w:rsidR="00563038" w:rsidRPr="002B2651">
        <w:rPr>
          <w:color w:val="231F20"/>
          <w:sz w:val="20"/>
          <w:szCs w:val="20"/>
        </w:rPr>
        <w:t xml:space="preserve">a decade later </w:t>
      </w:r>
      <w:r w:rsidR="00260CFF" w:rsidRPr="002B2651">
        <w:rPr>
          <w:color w:val="231F20"/>
          <w:sz w:val="20"/>
          <w:szCs w:val="20"/>
        </w:rPr>
        <w:t>was</w:t>
      </w:r>
      <w:r w:rsidRPr="002B2651">
        <w:rPr>
          <w:color w:val="231F20"/>
          <w:sz w:val="20"/>
          <w:szCs w:val="20"/>
        </w:rPr>
        <w:t xml:space="preserve"> informed by similar concerns about the need to</w:t>
      </w:r>
      <w:r w:rsidR="00774F99" w:rsidRPr="002B2651">
        <w:rPr>
          <w:color w:val="231F20"/>
          <w:sz w:val="20"/>
          <w:szCs w:val="20"/>
        </w:rPr>
        <w:t xml:space="preserve"> reform</w:t>
      </w:r>
      <w:r w:rsidRPr="002B2651">
        <w:rPr>
          <w:color w:val="231F20"/>
          <w:sz w:val="20"/>
          <w:szCs w:val="20"/>
        </w:rPr>
        <w:t xml:space="preserve"> higher education to provide a mass system of advanced </w:t>
      </w:r>
      <w:r w:rsidR="00260CFF" w:rsidRPr="002B2651">
        <w:rPr>
          <w:color w:val="231F20"/>
          <w:sz w:val="20"/>
          <w:szCs w:val="20"/>
        </w:rPr>
        <w:t xml:space="preserve">education </w:t>
      </w:r>
      <w:r w:rsidR="00774F99" w:rsidRPr="002B2651">
        <w:rPr>
          <w:color w:val="231F20"/>
          <w:sz w:val="20"/>
          <w:szCs w:val="20"/>
        </w:rPr>
        <w:t xml:space="preserve">to meet the needs of the </w:t>
      </w:r>
      <w:r w:rsidR="00563038" w:rsidRPr="002B2651">
        <w:rPr>
          <w:color w:val="231F20"/>
          <w:sz w:val="20"/>
          <w:szCs w:val="20"/>
        </w:rPr>
        <w:t xml:space="preserve">own </w:t>
      </w:r>
      <w:r w:rsidR="00774F99" w:rsidRPr="002B2651">
        <w:rPr>
          <w:color w:val="231F20"/>
          <w:sz w:val="20"/>
          <w:szCs w:val="20"/>
        </w:rPr>
        <w:t>UK’s</w:t>
      </w:r>
      <w:r w:rsidR="00EB15E0" w:rsidRPr="002B2651">
        <w:rPr>
          <w:color w:val="231F20"/>
          <w:sz w:val="20"/>
          <w:szCs w:val="20"/>
        </w:rPr>
        <w:t xml:space="preserve"> learning society</w:t>
      </w:r>
      <w:r w:rsidR="00E3788F" w:rsidRPr="002B2651">
        <w:rPr>
          <w:color w:val="231F20"/>
          <w:sz w:val="20"/>
          <w:szCs w:val="20"/>
        </w:rPr>
        <w:t xml:space="preserve"> and a desire to imitate American solutions</w:t>
      </w:r>
      <w:r w:rsidR="00260CFF" w:rsidRPr="002B2651">
        <w:rPr>
          <w:color w:val="231F20"/>
          <w:sz w:val="20"/>
          <w:szCs w:val="20"/>
        </w:rPr>
        <w:t xml:space="preserve">. The Dearing Report (1997, </w:t>
      </w:r>
      <w:r w:rsidR="00341789" w:rsidRPr="002B2651">
        <w:rPr>
          <w:color w:val="231F20"/>
          <w:sz w:val="20"/>
          <w:szCs w:val="20"/>
        </w:rPr>
        <w:t>9-10</w:t>
      </w:r>
      <w:r w:rsidR="00260CFF" w:rsidRPr="002B2651">
        <w:rPr>
          <w:color w:val="231F20"/>
          <w:sz w:val="20"/>
          <w:szCs w:val="20"/>
        </w:rPr>
        <w:t>)</w:t>
      </w:r>
      <w:r w:rsidR="00EB15E0" w:rsidRPr="002B2651">
        <w:rPr>
          <w:color w:val="231F20"/>
          <w:sz w:val="20"/>
          <w:szCs w:val="20"/>
        </w:rPr>
        <w:t xml:space="preserve"> defines the </w:t>
      </w:r>
      <w:r w:rsidR="00E3788F" w:rsidRPr="002B2651">
        <w:rPr>
          <w:color w:val="231F20"/>
          <w:sz w:val="20"/>
          <w:szCs w:val="20"/>
        </w:rPr>
        <w:t>learning society</w:t>
      </w:r>
      <w:r w:rsidR="00260CFF" w:rsidRPr="002B2651">
        <w:rPr>
          <w:color w:val="231F20"/>
          <w:sz w:val="20"/>
          <w:szCs w:val="20"/>
        </w:rPr>
        <w:t xml:space="preserve"> as ‘</w:t>
      </w:r>
      <w:r w:rsidR="00260CFF" w:rsidRPr="002B2651">
        <w:rPr>
          <w:sz w:val="20"/>
          <w:szCs w:val="20"/>
        </w:rPr>
        <w:t xml:space="preserve">a society in which people in all walks of life recognise the need to continue in education and training throughout their working lives’ </w:t>
      </w:r>
      <w:r w:rsidRPr="002B2651">
        <w:rPr>
          <w:sz w:val="20"/>
          <w:szCs w:val="20"/>
        </w:rPr>
        <w:t xml:space="preserve">as a result </w:t>
      </w:r>
      <w:r w:rsidR="00774F99" w:rsidRPr="002B2651">
        <w:rPr>
          <w:sz w:val="20"/>
          <w:szCs w:val="20"/>
        </w:rPr>
        <w:t xml:space="preserve">of shifts in the </w:t>
      </w:r>
      <w:r w:rsidR="00260CFF" w:rsidRPr="002B2651">
        <w:rPr>
          <w:sz w:val="20"/>
          <w:szCs w:val="20"/>
        </w:rPr>
        <w:t>economy brought about by the development of communications technology.</w:t>
      </w:r>
      <w:r w:rsidRPr="002B2651">
        <w:rPr>
          <w:sz w:val="20"/>
          <w:szCs w:val="20"/>
        </w:rPr>
        <w:t xml:space="preserve"> Although the term </w:t>
      </w:r>
      <w:r w:rsidR="00260CFF" w:rsidRPr="002B2651">
        <w:rPr>
          <w:sz w:val="20"/>
          <w:szCs w:val="20"/>
        </w:rPr>
        <w:t xml:space="preserve">was popularized by Robert Maynard Hutchins’ </w:t>
      </w:r>
      <w:r w:rsidR="00260CFF" w:rsidRPr="002B2651">
        <w:rPr>
          <w:i/>
          <w:sz w:val="20"/>
          <w:szCs w:val="20"/>
        </w:rPr>
        <w:t xml:space="preserve">The Learning Society </w:t>
      </w:r>
      <w:r w:rsidR="009F517B" w:rsidRPr="002B2651">
        <w:rPr>
          <w:sz w:val="20"/>
          <w:szCs w:val="20"/>
        </w:rPr>
        <w:t>(1968)</w:t>
      </w:r>
      <w:r w:rsidRPr="002B2651">
        <w:rPr>
          <w:sz w:val="20"/>
          <w:szCs w:val="20"/>
        </w:rPr>
        <w:t xml:space="preserve">, </w:t>
      </w:r>
      <w:r w:rsidR="00563038" w:rsidRPr="002B2651">
        <w:rPr>
          <w:sz w:val="20"/>
          <w:szCs w:val="20"/>
        </w:rPr>
        <w:t>the Dearing Report’s</w:t>
      </w:r>
      <w:r w:rsidRPr="002B2651">
        <w:rPr>
          <w:sz w:val="20"/>
          <w:szCs w:val="20"/>
        </w:rPr>
        <w:t xml:space="preserve"> and Boyer’s use in close conjunction with notions </w:t>
      </w:r>
      <w:r w:rsidR="000330D5" w:rsidRPr="002B2651">
        <w:rPr>
          <w:sz w:val="20"/>
          <w:szCs w:val="20"/>
        </w:rPr>
        <w:t>of teaching excellence</w:t>
      </w:r>
      <w:r w:rsidR="004B04AB">
        <w:rPr>
          <w:sz w:val="20"/>
          <w:szCs w:val="20"/>
        </w:rPr>
        <w:t>, national investment</w:t>
      </w:r>
      <w:r w:rsidRPr="002B2651">
        <w:rPr>
          <w:sz w:val="20"/>
          <w:szCs w:val="20"/>
        </w:rPr>
        <w:t xml:space="preserve"> </w:t>
      </w:r>
      <w:r w:rsidR="000022D0">
        <w:rPr>
          <w:sz w:val="20"/>
          <w:szCs w:val="20"/>
        </w:rPr>
        <w:t xml:space="preserve">in intellectual capital </w:t>
      </w:r>
      <w:r w:rsidRPr="002B2651">
        <w:rPr>
          <w:sz w:val="20"/>
          <w:szCs w:val="20"/>
        </w:rPr>
        <w:t>and</w:t>
      </w:r>
      <w:r w:rsidR="004B04AB">
        <w:rPr>
          <w:sz w:val="20"/>
          <w:szCs w:val="20"/>
        </w:rPr>
        <w:t xml:space="preserve"> global</w:t>
      </w:r>
      <w:r w:rsidR="000330D5" w:rsidRPr="002B2651">
        <w:rPr>
          <w:sz w:val="20"/>
          <w:szCs w:val="20"/>
        </w:rPr>
        <w:t xml:space="preserve"> competitiveness</w:t>
      </w:r>
      <w:r w:rsidR="009F517B" w:rsidRPr="002B2651">
        <w:rPr>
          <w:sz w:val="20"/>
          <w:szCs w:val="20"/>
        </w:rPr>
        <w:t xml:space="preserve"> </w:t>
      </w:r>
      <w:r w:rsidR="00C706C5" w:rsidRPr="002B2651">
        <w:rPr>
          <w:sz w:val="20"/>
          <w:szCs w:val="20"/>
        </w:rPr>
        <w:t>is more in tune with</w:t>
      </w:r>
      <w:r w:rsidR="00E91EC0" w:rsidRPr="002B2651">
        <w:rPr>
          <w:sz w:val="20"/>
          <w:szCs w:val="20"/>
        </w:rPr>
        <w:t xml:space="preserve"> neoclassical economic</w:t>
      </w:r>
      <w:r w:rsidR="00C706C5" w:rsidRPr="002B2651">
        <w:rPr>
          <w:sz w:val="20"/>
          <w:szCs w:val="20"/>
        </w:rPr>
        <w:t xml:space="preserve"> </w:t>
      </w:r>
      <w:r w:rsidR="000330D5" w:rsidRPr="002B2651">
        <w:rPr>
          <w:sz w:val="20"/>
          <w:szCs w:val="20"/>
        </w:rPr>
        <w:t>theories of human capital developed by the Chicago School in the 1960s and 70s.</w:t>
      </w:r>
      <w:r w:rsidR="003F1A8C" w:rsidRPr="002B2651">
        <w:rPr>
          <w:rStyle w:val="FootnoteReference"/>
          <w:sz w:val="20"/>
          <w:szCs w:val="20"/>
        </w:rPr>
        <w:footnoteReference w:id="7"/>
      </w:r>
      <w:r w:rsidR="009F517B" w:rsidRPr="002B2651">
        <w:rPr>
          <w:sz w:val="20"/>
          <w:szCs w:val="20"/>
        </w:rPr>
        <w:t xml:space="preserve"> </w:t>
      </w:r>
    </w:p>
    <w:p w14:paraId="314D36A6" w14:textId="77777777" w:rsidR="000022D0" w:rsidRDefault="000022D0" w:rsidP="009F79CF">
      <w:pPr>
        <w:autoSpaceDE w:val="0"/>
        <w:autoSpaceDN w:val="0"/>
        <w:adjustRightInd w:val="0"/>
        <w:spacing w:line="480" w:lineRule="auto"/>
        <w:rPr>
          <w:sz w:val="20"/>
          <w:szCs w:val="20"/>
        </w:rPr>
      </w:pPr>
    </w:p>
    <w:p w14:paraId="5B63427E" w14:textId="6B4929C9" w:rsidR="009F79CF" w:rsidRPr="002B2651" w:rsidRDefault="00DB48AA" w:rsidP="009F79CF">
      <w:pPr>
        <w:autoSpaceDE w:val="0"/>
        <w:autoSpaceDN w:val="0"/>
        <w:adjustRightInd w:val="0"/>
        <w:spacing w:line="480" w:lineRule="auto"/>
        <w:rPr>
          <w:sz w:val="20"/>
          <w:szCs w:val="20"/>
        </w:rPr>
      </w:pPr>
      <w:proofErr w:type="gramStart"/>
      <w:r w:rsidRPr="002B2651">
        <w:rPr>
          <w:sz w:val="20"/>
          <w:szCs w:val="20"/>
        </w:rPr>
        <w:t>In</w:t>
      </w:r>
      <w:r w:rsidR="00DB6AE9">
        <w:rPr>
          <w:sz w:val="20"/>
          <w:szCs w:val="20"/>
        </w:rPr>
        <w:t xml:space="preserve"> the early 1960s</w:t>
      </w:r>
      <w:r w:rsidRPr="002B2651">
        <w:rPr>
          <w:sz w:val="20"/>
          <w:szCs w:val="20"/>
        </w:rPr>
        <w:t>,</w:t>
      </w:r>
      <w:r w:rsidR="000022D0">
        <w:rPr>
          <w:sz w:val="20"/>
          <w:szCs w:val="20"/>
        </w:rPr>
        <w:t xml:space="preserve"> Theodore W.</w:t>
      </w:r>
      <w:r w:rsidR="001E3BBA" w:rsidRPr="002B2651">
        <w:rPr>
          <w:sz w:val="20"/>
          <w:szCs w:val="20"/>
        </w:rPr>
        <w:t xml:space="preserve"> </w:t>
      </w:r>
      <w:r w:rsidR="004E217A" w:rsidRPr="002B2651">
        <w:rPr>
          <w:sz w:val="20"/>
          <w:szCs w:val="20"/>
        </w:rPr>
        <w:t>Schultz (1961, 1)</w:t>
      </w:r>
      <w:r w:rsidR="00D57334" w:rsidRPr="002B2651">
        <w:rPr>
          <w:sz w:val="20"/>
          <w:szCs w:val="20"/>
        </w:rPr>
        <w:t>, drawing on economic research on investment and returns in US c</w:t>
      </w:r>
      <w:r w:rsidR="00884DE2" w:rsidRPr="002B2651">
        <w:rPr>
          <w:sz w:val="20"/>
          <w:szCs w:val="20"/>
        </w:rPr>
        <w:t>ollege education by Becker (1961</w:t>
      </w:r>
      <w:r w:rsidR="00D57334" w:rsidRPr="002B2651">
        <w:rPr>
          <w:sz w:val="20"/>
          <w:szCs w:val="20"/>
        </w:rPr>
        <w:t>),</w:t>
      </w:r>
      <w:r w:rsidR="004E217A" w:rsidRPr="002B2651">
        <w:rPr>
          <w:sz w:val="20"/>
          <w:szCs w:val="20"/>
        </w:rPr>
        <w:t xml:space="preserve"> </w:t>
      </w:r>
      <w:r w:rsidR="000022D0">
        <w:rPr>
          <w:sz w:val="20"/>
          <w:szCs w:val="20"/>
        </w:rPr>
        <w:t xml:space="preserve">began to develop ‘a new research area </w:t>
      </w:r>
      <w:r w:rsidR="00DB6AE9">
        <w:rPr>
          <w:sz w:val="20"/>
          <w:szCs w:val="20"/>
        </w:rPr>
        <w:t xml:space="preserve">in economics’ (Schultz 1972, 1-2) that </w:t>
      </w:r>
      <w:r w:rsidR="004E217A" w:rsidRPr="002B2651">
        <w:rPr>
          <w:sz w:val="20"/>
          <w:szCs w:val="20"/>
        </w:rPr>
        <w:t xml:space="preserve">argued that the useful </w:t>
      </w:r>
      <w:r w:rsidRPr="002B2651">
        <w:rPr>
          <w:sz w:val="20"/>
          <w:szCs w:val="20"/>
        </w:rPr>
        <w:t>skills and knowledge acquired through</w:t>
      </w:r>
      <w:r w:rsidR="004E217A" w:rsidRPr="002B2651">
        <w:rPr>
          <w:sz w:val="20"/>
          <w:szCs w:val="20"/>
        </w:rPr>
        <w:t xml:space="preserve"> education and training should be conceptualized as a form of capital</w:t>
      </w:r>
      <w:r w:rsidR="00391BBA" w:rsidRPr="002B2651">
        <w:rPr>
          <w:sz w:val="20"/>
          <w:szCs w:val="20"/>
        </w:rPr>
        <w:t xml:space="preserve"> with economic value</w:t>
      </w:r>
      <w:r w:rsidR="001E3BBA" w:rsidRPr="002B2651">
        <w:rPr>
          <w:sz w:val="20"/>
          <w:szCs w:val="20"/>
        </w:rPr>
        <w:t>,</w:t>
      </w:r>
      <w:r w:rsidR="00391BBA" w:rsidRPr="002B2651">
        <w:rPr>
          <w:sz w:val="20"/>
          <w:szCs w:val="20"/>
        </w:rPr>
        <w:t xml:space="preserve"> </w:t>
      </w:r>
      <w:r w:rsidR="004E217A" w:rsidRPr="002B2651">
        <w:rPr>
          <w:sz w:val="20"/>
          <w:szCs w:val="20"/>
        </w:rPr>
        <w:t>in which we</w:t>
      </w:r>
      <w:r w:rsidR="00DB6AE9">
        <w:rPr>
          <w:sz w:val="20"/>
          <w:szCs w:val="20"/>
        </w:rPr>
        <w:t xml:space="preserve"> consciously </w:t>
      </w:r>
      <w:r w:rsidR="004E217A" w:rsidRPr="002B2651">
        <w:rPr>
          <w:sz w:val="20"/>
          <w:szCs w:val="20"/>
        </w:rPr>
        <w:t>invest in order to enhance</w:t>
      </w:r>
      <w:r w:rsidR="00391BBA" w:rsidRPr="002B2651">
        <w:rPr>
          <w:sz w:val="20"/>
          <w:szCs w:val="20"/>
        </w:rPr>
        <w:t xml:space="preserve"> </w:t>
      </w:r>
      <w:r w:rsidR="006402F7" w:rsidRPr="002B2651">
        <w:rPr>
          <w:sz w:val="20"/>
          <w:szCs w:val="20"/>
        </w:rPr>
        <w:t>our c</w:t>
      </w:r>
      <w:r w:rsidR="00391BBA" w:rsidRPr="002B2651">
        <w:rPr>
          <w:sz w:val="20"/>
          <w:szCs w:val="20"/>
        </w:rPr>
        <w:t>apacities to do productive work</w:t>
      </w:r>
      <w:r w:rsidR="004E217A" w:rsidRPr="002B2651">
        <w:rPr>
          <w:sz w:val="20"/>
          <w:szCs w:val="20"/>
        </w:rPr>
        <w:t xml:space="preserve"> and</w:t>
      </w:r>
      <w:r w:rsidR="00E14A78" w:rsidRPr="002B2651">
        <w:rPr>
          <w:sz w:val="20"/>
          <w:szCs w:val="20"/>
        </w:rPr>
        <w:t>, as a consequence,</w:t>
      </w:r>
      <w:r w:rsidR="006402F7" w:rsidRPr="002B2651">
        <w:rPr>
          <w:sz w:val="20"/>
          <w:szCs w:val="20"/>
        </w:rPr>
        <w:t xml:space="preserve"> </w:t>
      </w:r>
      <w:r w:rsidRPr="002B2651">
        <w:rPr>
          <w:sz w:val="20"/>
          <w:szCs w:val="20"/>
        </w:rPr>
        <w:t xml:space="preserve">increase our </w:t>
      </w:r>
      <w:r w:rsidR="00391BBA" w:rsidRPr="002B2651">
        <w:rPr>
          <w:sz w:val="20"/>
          <w:szCs w:val="20"/>
        </w:rPr>
        <w:t xml:space="preserve">future </w:t>
      </w:r>
      <w:r w:rsidRPr="002B2651">
        <w:rPr>
          <w:sz w:val="20"/>
          <w:szCs w:val="20"/>
        </w:rPr>
        <w:t xml:space="preserve">earnings (cf. </w:t>
      </w:r>
      <w:r w:rsidR="009F79CF" w:rsidRPr="002B2651">
        <w:rPr>
          <w:sz w:val="20"/>
          <w:szCs w:val="20"/>
        </w:rPr>
        <w:t>Schultz 1</w:t>
      </w:r>
      <w:r w:rsidRPr="002B2651">
        <w:rPr>
          <w:sz w:val="20"/>
          <w:szCs w:val="20"/>
        </w:rPr>
        <w:t>972, 2-4).</w:t>
      </w:r>
      <w:proofErr w:type="gramEnd"/>
      <w:r w:rsidRPr="002B2651">
        <w:rPr>
          <w:sz w:val="20"/>
          <w:szCs w:val="20"/>
        </w:rPr>
        <w:t xml:space="preserve"> </w:t>
      </w:r>
      <w:r w:rsidR="001E3BBA" w:rsidRPr="002B2651">
        <w:rPr>
          <w:sz w:val="20"/>
          <w:szCs w:val="20"/>
        </w:rPr>
        <w:t xml:space="preserve">Human capital is therefore concerned with the ‘capital component in labour’: it ‘is a form of capital because it is the source of future earnings, or of future satisfactions, or both of them. It is </w:t>
      </w:r>
      <w:r w:rsidR="001E3BBA" w:rsidRPr="002B2651">
        <w:rPr>
          <w:i/>
          <w:sz w:val="20"/>
          <w:szCs w:val="20"/>
        </w:rPr>
        <w:t xml:space="preserve">human </w:t>
      </w:r>
      <w:r w:rsidR="001E3BBA" w:rsidRPr="002B2651">
        <w:rPr>
          <w:sz w:val="20"/>
          <w:szCs w:val="20"/>
        </w:rPr>
        <w:t>because it is an integral part of man</w:t>
      </w:r>
      <w:r w:rsidR="008A74A3" w:rsidRPr="002B2651">
        <w:rPr>
          <w:sz w:val="20"/>
          <w:szCs w:val="20"/>
        </w:rPr>
        <w:t>’ (Schultz 1972, 5).</w:t>
      </w:r>
      <w:r w:rsidR="001E3BBA" w:rsidRPr="002B2651">
        <w:rPr>
          <w:sz w:val="20"/>
          <w:szCs w:val="20"/>
        </w:rPr>
        <w:t xml:space="preserve"> </w:t>
      </w:r>
      <w:r w:rsidR="009F79CF" w:rsidRPr="002B2651">
        <w:rPr>
          <w:sz w:val="20"/>
          <w:szCs w:val="20"/>
        </w:rPr>
        <w:t xml:space="preserve">Becker (1962, 9) </w:t>
      </w:r>
      <w:r w:rsidR="00712670" w:rsidRPr="002B2651">
        <w:rPr>
          <w:sz w:val="20"/>
          <w:szCs w:val="20"/>
        </w:rPr>
        <w:t>defines investment</w:t>
      </w:r>
      <w:r w:rsidR="009F79CF" w:rsidRPr="002B2651">
        <w:rPr>
          <w:sz w:val="20"/>
          <w:szCs w:val="20"/>
        </w:rPr>
        <w:t xml:space="preserve"> in human capital as ‘activities that influence future real income through the imbedding</w:t>
      </w:r>
      <w:r w:rsidR="00712670" w:rsidRPr="002B2651">
        <w:rPr>
          <w:sz w:val="20"/>
          <w:szCs w:val="20"/>
        </w:rPr>
        <w:t xml:space="preserve"> of</w:t>
      </w:r>
      <w:r w:rsidR="009F79CF" w:rsidRPr="002B2651">
        <w:rPr>
          <w:sz w:val="20"/>
          <w:szCs w:val="20"/>
        </w:rPr>
        <w:t xml:space="preserve"> resources in people.’ </w:t>
      </w:r>
    </w:p>
    <w:p w14:paraId="6B002666" w14:textId="77777777" w:rsidR="00DB48AA" w:rsidRPr="002B2651" w:rsidRDefault="00DB48AA" w:rsidP="00484173">
      <w:pPr>
        <w:autoSpaceDE w:val="0"/>
        <w:autoSpaceDN w:val="0"/>
        <w:adjustRightInd w:val="0"/>
        <w:spacing w:line="480" w:lineRule="auto"/>
        <w:rPr>
          <w:sz w:val="20"/>
          <w:szCs w:val="20"/>
        </w:rPr>
      </w:pPr>
    </w:p>
    <w:p w14:paraId="227BB781" w14:textId="78B3ED29" w:rsidR="00712670" w:rsidRPr="002B2651" w:rsidRDefault="00E14A78" w:rsidP="000330D5">
      <w:pPr>
        <w:autoSpaceDE w:val="0"/>
        <w:autoSpaceDN w:val="0"/>
        <w:adjustRightInd w:val="0"/>
        <w:spacing w:line="480" w:lineRule="auto"/>
        <w:rPr>
          <w:sz w:val="20"/>
          <w:szCs w:val="20"/>
        </w:rPr>
      </w:pPr>
      <w:proofErr w:type="gramStart"/>
      <w:r w:rsidRPr="002B2651">
        <w:rPr>
          <w:sz w:val="20"/>
          <w:szCs w:val="20"/>
        </w:rPr>
        <w:lastRenderedPageBreak/>
        <w:t>A failure to include human capital in conventional economic analyses of capital has, Schultz</w:t>
      </w:r>
      <w:r w:rsidR="00D57334" w:rsidRPr="002B2651">
        <w:rPr>
          <w:sz w:val="20"/>
          <w:szCs w:val="20"/>
        </w:rPr>
        <w:t xml:space="preserve"> (1961, 13-15</w:t>
      </w:r>
      <w:r w:rsidR="00712670" w:rsidRPr="002B2651">
        <w:rPr>
          <w:sz w:val="20"/>
          <w:szCs w:val="20"/>
        </w:rPr>
        <w:t>; 1972, 25-28, 43) argues</w:t>
      </w:r>
      <w:r w:rsidRPr="002B2651">
        <w:rPr>
          <w:sz w:val="20"/>
          <w:szCs w:val="20"/>
        </w:rPr>
        <w:t>, led to a reluctance to reform taxation and banking laws that discr</w:t>
      </w:r>
      <w:r w:rsidR="009F79CF" w:rsidRPr="002B2651">
        <w:rPr>
          <w:sz w:val="20"/>
          <w:szCs w:val="20"/>
        </w:rPr>
        <w:t xml:space="preserve">iminate </w:t>
      </w:r>
      <w:r w:rsidRPr="002B2651">
        <w:rPr>
          <w:sz w:val="20"/>
          <w:szCs w:val="20"/>
        </w:rPr>
        <w:t>against human</w:t>
      </w:r>
      <w:r w:rsidR="00D57334" w:rsidRPr="002B2651">
        <w:rPr>
          <w:sz w:val="20"/>
          <w:szCs w:val="20"/>
        </w:rPr>
        <w:t xml:space="preserve"> (as opposed to nonhuman)</w:t>
      </w:r>
      <w:r w:rsidRPr="002B2651">
        <w:rPr>
          <w:sz w:val="20"/>
          <w:szCs w:val="20"/>
        </w:rPr>
        <w:t xml:space="preserve"> capital, such as the provision of long-term private and public loans to students, </w:t>
      </w:r>
      <w:r w:rsidR="00391BBA" w:rsidRPr="002B2651">
        <w:rPr>
          <w:sz w:val="20"/>
          <w:szCs w:val="20"/>
        </w:rPr>
        <w:t xml:space="preserve">whose return on investment is recuperated through taxation, </w:t>
      </w:r>
      <w:r w:rsidRPr="002B2651">
        <w:rPr>
          <w:sz w:val="20"/>
          <w:szCs w:val="20"/>
        </w:rPr>
        <w:t xml:space="preserve">and a more widespread underinvestment in knowledge and skill relative to </w:t>
      </w:r>
      <w:r w:rsidR="00D57334" w:rsidRPr="002B2651">
        <w:rPr>
          <w:sz w:val="20"/>
          <w:szCs w:val="20"/>
        </w:rPr>
        <w:t>the amounts invested in nonhuman capital, especially in relation to higher education.</w:t>
      </w:r>
      <w:proofErr w:type="gramEnd"/>
      <w:r w:rsidR="00712670" w:rsidRPr="002B2651">
        <w:rPr>
          <w:sz w:val="20"/>
          <w:szCs w:val="20"/>
        </w:rPr>
        <w:t xml:space="preserve"> </w:t>
      </w:r>
      <w:proofErr w:type="gramStart"/>
      <w:r w:rsidR="007278E1" w:rsidRPr="002B2651">
        <w:rPr>
          <w:sz w:val="20"/>
          <w:szCs w:val="20"/>
        </w:rPr>
        <w:t xml:space="preserve">In addition, </w:t>
      </w:r>
      <w:r w:rsidR="00712670" w:rsidRPr="002B2651">
        <w:rPr>
          <w:sz w:val="20"/>
          <w:szCs w:val="20"/>
        </w:rPr>
        <w:t xml:space="preserve">Schultz (1972, 37 &amp; 45) argues that ‘the condition of the stock of educational capital is adversely affected by an overemphasis on the quantity of schooling [i.e. days attended] relative to the emphasis given to its quality,’ and that </w:t>
      </w:r>
      <w:r w:rsidR="007278E1" w:rsidRPr="002B2651">
        <w:rPr>
          <w:sz w:val="20"/>
          <w:szCs w:val="20"/>
        </w:rPr>
        <w:t>students and their families must be provided with transparency about the costs and pricing of education and adequate ‘information on the differences in the quality of the educational services of different colleges and universities’ (Schultz, 1972, 45).</w:t>
      </w:r>
      <w:proofErr w:type="gramEnd"/>
      <w:r w:rsidR="00E358E6" w:rsidRPr="002B2651">
        <w:rPr>
          <w:sz w:val="20"/>
          <w:szCs w:val="20"/>
        </w:rPr>
        <w:t xml:space="preserve"> </w:t>
      </w:r>
      <w:proofErr w:type="gramStart"/>
      <w:r w:rsidR="00E358E6" w:rsidRPr="002B2651">
        <w:rPr>
          <w:sz w:val="20"/>
          <w:szCs w:val="20"/>
        </w:rPr>
        <w:t xml:space="preserve">It is this emphasis on </w:t>
      </w:r>
      <w:r w:rsidR="00E358E6" w:rsidRPr="002B2651">
        <w:rPr>
          <w:i/>
          <w:sz w:val="20"/>
          <w:szCs w:val="20"/>
        </w:rPr>
        <w:t>quality</w:t>
      </w:r>
      <w:r w:rsidR="004B04AB">
        <w:rPr>
          <w:i/>
          <w:sz w:val="20"/>
          <w:szCs w:val="20"/>
        </w:rPr>
        <w:t xml:space="preserve"> </w:t>
      </w:r>
      <w:r w:rsidR="004B04AB">
        <w:rPr>
          <w:sz w:val="20"/>
          <w:szCs w:val="20"/>
        </w:rPr>
        <w:t>– and its measurement relative to cost –</w:t>
      </w:r>
      <w:r w:rsidR="00E358E6" w:rsidRPr="002B2651">
        <w:rPr>
          <w:i/>
          <w:sz w:val="20"/>
          <w:szCs w:val="20"/>
        </w:rPr>
        <w:t xml:space="preserve"> </w:t>
      </w:r>
      <w:r w:rsidR="00E358E6" w:rsidRPr="002B2651">
        <w:rPr>
          <w:sz w:val="20"/>
          <w:szCs w:val="20"/>
        </w:rPr>
        <w:t>that</w:t>
      </w:r>
      <w:proofErr w:type="gramEnd"/>
      <w:r w:rsidR="00E358E6" w:rsidRPr="002B2651">
        <w:rPr>
          <w:sz w:val="20"/>
          <w:szCs w:val="20"/>
        </w:rPr>
        <w:t xml:space="preserve"> links ideas about the productivity of human capital to the contemporary discourse of teaching excellence.</w:t>
      </w:r>
      <w:r w:rsidR="007278E1" w:rsidRPr="002B2651">
        <w:rPr>
          <w:sz w:val="20"/>
          <w:szCs w:val="20"/>
        </w:rPr>
        <w:t xml:space="preserve"> </w:t>
      </w:r>
    </w:p>
    <w:p w14:paraId="20FACB8A" w14:textId="732C3B9E" w:rsidR="0024595E" w:rsidRPr="002B2651" w:rsidRDefault="0024595E" w:rsidP="00EF5844">
      <w:pPr>
        <w:autoSpaceDE w:val="0"/>
        <w:autoSpaceDN w:val="0"/>
        <w:adjustRightInd w:val="0"/>
        <w:spacing w:line="480" w:lineRule="auto"/>
        <w:rPr>
          <w:sz w:val="20"/>
          <w:szCs w:val="20"/>
        </w:rPr>
      </w:pPr>
    </w:p>
    <w:p w14:paraId="7481BE04" w14:textId="6EC33D60" w:rsidR="00E358E6" w:rsidRPr="002B2651" w:rsidRDefault="000330D5" w:rsidP="00307B29">
      <w:pPr>
        <w:autoSpaceDE w:val="0"/>
        <w:autoSpaceDN w:val="0"/>
        <w:adjustRightInd w:val="0"/>
        <w:spacing w:line="480" w:lineRule="auto"/>
        <w:rPr>
          <w:color w:val="000000"/>
          <w:sz w:val="20"/>
          <w:szCs w:val="20"/>
        </w:rPr>
      </w:pPr>
      <w:r w:rsidRPr="002B2651">
        <w:rPr>
          <w:sz w:val="20"/>
          <w:szCs w:val="20"/>
        </w:rPr>
        <w:t>As</w:t>
      </w:r>
      <w:r w:rsidR="00307B29" w:rsidRPr="002B2651">
        <w:rPr>
          <w:sz w:val="20"/>
          <w:szCs w:val="20"/>
        </w:rPr>
        <w:t xml:space="preserve"> Andrew </w:t>
      </w:r>
      <w:proofErr w:type="spellStart"/>
      <w:r w:rsidR="00307B29" w:rsidRPr="002B2651">
        <w:rPr>
          <w:sz w:val="20"/>
          <w:szCs w:val="20"/>
        </w:rPr>
        <w:t>McGettigan</w:t>
      </w:r>
      <w:proofErr w:type="spellEnd"/>
      <w:r w:rsidR="00307B29" w:rsidRPr="002B2651">
        <w:rPr>
          <w:sz w:val="20"/>
          <w:szCs w:val="20"/>
        </w:rPr>
        <w:t xml:space="preserve"> (2015</w:t>
      </w:r>
      <w:r w:rsidR="00567575" w:rsidRPr="002B2651">
        <w:rPr>
          <w:sz w:val="20"/>
          <w:szCs w:val="20"/>
        </w:rPr>
        <w:t xml:space="preserve">) </w:t>
      </w:r>
      <w:r w:rsidR="00F633CB" w:rsidRPr="002B2651">
        <w:rPr>
          <w:sz w:val="20"/>
          <w:szCs w:val="20"/>
        </w:rPr>
        <w:t>point</w:t>
      </w:r>
      <w:r w:rsidR="00567575" w:rsidRPr="002B2651">
        <w:rPr>
          <w:sz w:val="20"/>
          <w:szCs w:val="20"/>
        </w:rPr>
        <w:t>s</w:t>
      </w:r>
      <w:r w:rsidR="00F633CB" w:rsidRPr="002B2651">
        <w:rPr>
          <w:sz w:val="20"/>
          <w:szCs w:val="20"/>
        </w:rPr>
        <w:t xml:space="preserve"> out,</w:t>
      </w:r>
      <w:r w:rsidR="00307B29" w:rsidRPr="002B2651">
        <w:rPr>
          <w:sz w:val="20"/>
          <w:szCs w:val="20"/>
        </w:rPr>
        <w:t xml:space="preserve"> the thinking that informs t</w:t>
      </w:r>
      <w:r w:rsidR="00712670" w:rsidRPr="002B2651">
        <w:rPr>
          <w:sz w:val="20"/>
          <w:szCs w:val="20"/>
        </w:rPr>
        <w:t xml:space="preserve">he most recent </w:t>
      </w:r>
      <w:r w:rsidR="00307B29" w:rsidRPr="002B2651">
        <w:rPr>
          <w:sz w:val="20"/>
          <w:szCs w:val="20"/>
        </w:rPr>
        <w:t>reforms</w:t>
      </w:r>
      <w:r w:rsidR="00712670" w:rsidRPr="002B2651">
        <w:rPr>
          <w:sz w:val="20"/>
          <w:szCs w:val="20"/>
        </w:rPr>
        <w:t xml:space="preserve"> of higher education</w:t>
      </w:r>
      <w:r w:rsidR="00307B29" w:rsidRPr="002B2651">
        <w:rPr>
          <w:sz w:val="20"/>
          <w:szCs w:val="20"/>
        </w:rPr>
        <w:t xml:space="preserve"> in England </w:t>
      </w:r>
      <w:proofErr w:type="gramStart"/>
      <w:r w:rsidR="00307B29" w:rsidRPr="002B2651">
        <w:rPr>
          <w:sz w:val="20"/>
          <w:szCs w:val="20"/>
        </w:rPr>
        <w:t>are derived</w:t>
      </w:r>
      <w:proofErr w:type="gramEnd"/>
      <w:r w:rsidR="00307B29" w:rsidRPr="002B2651">
        <w:rPr>
          <w:sz w:val="20"/>
          <w:szCs w:val="20"/>
        </w:rPr>
        <w:t xml:space="preserve"> from the same theories of human capital.</w:t>
      </w:r>
      <w:r w:rsidR="00563038" w:rsidRPr="002B2651">
        <w:rPr>
          <w:sz w:val="20"/>
          <w:szCs w:val="20"/>
        </w:rPr>
        <w:t xml:space="preserve"> The Dearing Report</w:t>
      </w:r>
      <w:r w:rsidR="00712670" w:rsidRPr="002B2651">
        <w:rPr>
          <w:sz w:val="20"/>
          <w:szCs w:val="20"/>
        </w:rPr>
        <w:t xml:space="preserve"> introduced the idea of teaching excellence </w:t>
      </w:r>
      <w:proofErr w:type="gramStart"/>
      <w:r w:rsidR="00712670" w:rsidRPr="002B2651">
        <w:rPr>
          <w:sz w:val="20"/>
          <w:szCs w:val="20"/>
        </w:rPr>
        <w:t>for the learning society into the UK in terms of investment in life long education and training</w:t>
      </w:r>
      <w:proofErr w:type="gramEnd"/>
      <w:r w:rsidR="00712670" w:rsidRPr="002B2651">
        <w:rPr>
          <w:sz w:val="20"/>
          <w:szCs w:val="20"/>
        </w:rPr>
        <w:t xml:space="preserve"> to ensure national competitive advantages in a rapidly changing working environment. </w:t>
      </w:r>
      <w:r w:rsidR="00712670" w:rsidRPr="002B2651">
        <w:rPr>
          <w:i/>
          <w:sz w:val="20"/>
          <w:szCs w:val="20"/>
        </w:rPr>
        <w:t>F</w:t>
      </w:r>
      <w:r w:rsidR="00F633CB" w:rsidRPr="002B2651">
        <w:rPr>
          <w:i/>
          <w:iCs/>
          <w:color w:val="000000"/>
          <w:sz w:val="20"/>
          <w:szCs w:val="20"/>
        </w:rPr>
        <w:t>ulfilling Our Potential</w:t>
      </w:r>
      <w:r w:rsidR="00712670" w:rsidRPr="002B2651">
        <w:rPr>
          <w:i/>
          <w:iCs/>
          <w:color w:val="000000"/>
          <w:sz w:val="20"/>
          <w:szCs w:val="20"/>
        </w:rPr>
        <w:t xml:space="preserve"> </w:t>
      </w:r>
      <w:r w:rsidR="00712670" w:rsidRPr="002B2651">
        <w:rPr>
          <w:iCs/>
          <w:color w:val="000000"/>
          <w:sz w:val="20"/>
          <w:szCs w:val="20"/>
        </w:rPr>
        <w:t>(</w:t>
      </w:r>
      <w:r w:rsidR="00884DE2" w:rsidRPr="002B2651">
        <w:rPr>
          <w:iCs/>
          <w:color w:val="000000"/>
          <w:sz w:val="20"/>
          <w:szCs w:val="20"/>
        </w:rPr>
        <w:t xml:space="preserve">BIS </w:t>
      </w:r>
      <w:r w:rsidR="00712670" w:rsidRPr="002B2651">
        <w:rPr>
          <w:iCs/>
          <w:color w:val="000000"/>
          <w:sz w:val="20"/>
          <w:szCs w:val="20"/>
        </w:rPr>
        <w:t>2015, 10)</w:t>
      </w:r>
      <w:r w:rsidR="00307B29" w:rsidRPr="002B2651">
        <w:rPr>
          <w:i/>
          <w:iCs/>
          <w:color w:val="000000"/>
          <w:sz w:val="20"/>
          <w:szCs w:val="20"/>
        </w:rPr>
        <w:t xml:space="preserve">, </w:t>
      </w:r>
      <w:r w:rsidR="00563038" w:rsidRPr="002B2651">
        <w:rPr>
          <w:iCs/>
          <w:color w:val="000000"/>
          <w:sz w:val="20"/>
          <w:szCs w:val="20"/>
        </w:rPr>
        <w:t>in which the TEF wa</w:t>
      </w:r>
      <w:r w:rsidR="00307B29" w:rsidRPr="002B2651">
        <w:rPr>
          <w:iCs/>
          <w:color w:val="000000"/>
          <w:sz w:val="20"/>
          <w:szCs w:val="20"/>
        </w:rPr>
        <w:t>s introduced,</w:t>
      </w:r>
      <w:r w:rsidR="00F633CB" w:rsidRPr="002B2651">
        <w:rPr>
          <w:i/>
          <w:iCs/>
          <w:color w:val="000000"/>
          <w:sz w:val="20"/>
          <w:szCs w:val="20"/>
        </w:rPr>
        <w:t xml:space="preserve"> </w:t>
      </w:r>
      <w:r w:rsidR="00F633CB" w:rsidRPr="002B2651">
        <w:rPr>
          <w:iCs/>
          <w:color w:val="000000"/>
          <w:sz w:val="20"/>
          <w:szCs w:val="20"/>
        </w:rPr>
        <w:t>begins not with a discussion of teaching excellence</w:t>
      </w:r>
      <w:r w:rsidR="00307B29" w:rsidRPr="002B2651">
        <w:rPr>
          <w:iCs/>
          <w:color w:val="000000"/>
          <w:sz w:val="20"/>
          <w:szCs w:val="20"/>
        </w:rPr>
        <w:t xml:space="preserve"> </w:t>
      </w:r>
      <w:r w:rsidR="00F633CB" w:rsidRPr="002B2651">
        <w:rPr>
          <w:iCs/>
          <w:color w:val="000000"/>
          <w:sz w:val="20"/>
          <w:szCs w:val="20"/>
        </w:rPr>
        <w:t>but of</w:t>
      </w:r>
      <w:r w:rsidR="00307B29" w:rsidRPr="002B2651">
        <w:rPr>
          <w:iCs/>
          <w:color w:val="000000"/>
          <w:sz w:val="20"/>
          <w:szCs w:val="20"/>
        </w:rPr>
        <w:t xml:space="preserve"> how </w:t>
      </w:r>
      <w:r w:rsidR="00F633CB" w:rsidRPr="002B2651">
        <w:rPr>
          <w:iCs/>
          <w:color w:val="000000"/>
          <w:sz w:val="20"/>
          <w:szCs w:val="20"/>
        </w:rPr>
        <w:t>‘</w:t>
      </w:r>
      <w:r w:rsidR="00307B29" w:rsidRPr="002B2651">
        <w:rPr>
          <w:iCs/>
          <w:color w:val="000000"/>
          <w:sz w:val="20"/>
          <w:szCs w:val="20"/>
        </w:rPr>
        <w:t>in</w:t>
      </w:r>
      <w:r w:rsidR="00F633CB" w:rsidRPr="002B2651">
        <w:rPr>
          <w:iCs/>
          <w:color w:val="000000"/>
          <w:sz w:val="20"/>
          <w:szCs w:val="20"/>
        </w:rPr>
        <w:t>creasing productivity will be the main driver of economic growth in years to come, and improving skills are an essential component of this</w:t>
      </w:r>
      <w:r w:rsidR="00712670" w:rsidRPr="002B2651">
        <w:rPr>
          <w:iCs/>
          <w:color w:val="000000"/>
          <w:sz w:val="20"/>
          <w:szCs w:val="20"/>
        </w:rPr>
        <w:t>.</w:t>
      </w:r>
      <w:r w:rsidR="00F633CB" w:rsidRPr="002B2651">
        <w:rPr>
          <w:iCs/>
          <w:color w:val="000000"/>
          <w:sz w:val="20"/>
          <w:szCs w:val="20"/>
        </w:rPr>
        <w:t xml:space="preserve">’ </w:t>
      </w:r>
      <w:r w:rsidR="00F633CB" w:rsidRPr="002B2651">
        <w:rPr>
          <w:i/>
          <w:iCs/>
          <w:color w:val="000000"/>
          <w:sz w:val="20"/>
          <w:szCs w:val="20"/>
        </w:rPr>
        <w:t>F</w:t>
      </w:r>
      <w:r w:rsidR="00F633CB" w:rsidRPr="002B2651">
        <w:rPr>
          <w:rStyle w:val="Emphasis"/>
          <w:rFonts w:eastAsiaTheme="majorEastAsia"/>
          <w:color w:val="000000"/>
          <w:sz w:val="20"/>
          <w:szCs w:val="20"/>
          <w:bdr w:val="none" w:sz="0" w:space="0" w:color="auto" w:frame="1"/>
        </w:rPr>
        <w:t>ixing the foundations: Creating a more prosperous nation</w:t>
      </w:r>
      <w:r w:rsidR="00884DE2" w:rsidRPr="002B2651">
        <w:rPr>
          <w:rStyle w:val="Emphasis"/>
          <w:rFonts w:eastAsiaTheme="majorEastAsia"/>
          <w:color w:val="000000"/>
          <w:sz w:val="20"/>
          <w:szCs w:val="20"/>
          <w:bdr w:val="none" w:sz="0" w:space="0" w:color="auto" w:frame="1"/>
        </w:rPr>
        <w:t xml:space="preserve"> </w:t>
      </w:r>
      <w:r w:rsidR="00884DE2" w:rsidRPr="002B2651">
        <w:rPr>
          <w:rStyle w:val="Emphasis"/>
          <w:rFonts w:eastAsiaTheme="majorEastAsia"/>
          <w:i w:val="0"/>
          <w:color w:val="000000"/>
          <w:sz w:val="20"/>
          <w:szCs w:val="20"/>
          <w:bdr w:val="none" w:sz="0" w:space="0" w:color="auto" w:frame="1"/>
        </w:rPr>
        <w:t>(HM Treasury 2015)</w:t>
      </w:r>
      <w:r w:rsidR="00F633CB" w:rsidRPr="002B2651">
        <w:rPr>
          <w:color w:val="000000"/>
          <w:sz w:val="20"/>
          <w:szCs w:val="20"/>
        </w:rPr>
        <w:t xml:space="preserve">, published by the Treasury in July 2015, proposes </w:t>
      </w:r>
      <w:r w:rsidR="00712670" w:rsidRPr="002B2651">
        <w:rPr>
          <w:color w:val="000000"/>
          <w:sz w:val="20"/>
          <w:szCs w:val="20"/>
        </w:rPr>
        <w:t xml:space="preserve">in </w:t>
      </w:r>
      <w:r w:rsidR="00712670" w:rsidRPr="002B2651">
        <w:rPr>
          <w:iCs/>
          <w:color w:val="000000"/>
          <w:sz w:val="20"/>
          <w:szCs w:val="20"/>
        </w:rPr>
        <w:t xml:space="preserve">its section on ‘Skills and Human Capital’ </w:t>
      </w:r>
      <w:r w:rsidR="00F633CB" w:rsidRPr="002B2651">
        <w:rPr>
          <w:color w:val="000000"/>
          <w:sz w:val="20"/>
          <w:szCs w:val="20"/>
        </w:rPr>
        <w:t>that long term investment in education is required through the radical reform of schools, Further Ed</w:t>
      </w:r>
      <w:r w:rsidR="00307B29" w:rsidRPr="002B2651">
        <w:rPr>
          <w:color w:val="000000"/>
          <w:sz w:val="20"/>
          <w:szCs w:val="20"/>
        </w:rPr>
        <w:t>ucation and Higher Education, including t</w:t>
      </w:r>
      <w:r w:rsidR="00F633CB" w:rsidRPr="002B2651">
        <w:rPr>
          <w:color w:val="000000"/>
          <w:sz w:val="20"/>
          <w:szCs w:val="20"/>
        </w:rPr>
        <w:t>he introduction of the TEF</w:t>
      </w:r>
      <w:r w:rsidR="00307B29" w:rsidRPr="002B2651">
        <w:rPr>
          <w:color w:val="000000"/>
          <w:sz w:val="20"/>
          <w:szCs w:val="20"/>
        </w:rPr>
        <w:t>.</w:t>
      </w:r>
      <w:r w:rsidR="00563038" w:rsidRPr="002B2651">
        <w:rPr>
          <w:color w:val="000000"/>
          <w:sz w:val="20"/>
          <w:szCs w:val="20"/>
        </w:rPr>
        <w:t xml:space="preserve"> The 2016 White Pape</w:t>
      </w:r>
      <w:r w:rsidR="001A71E3" w:rsidRPr="002B2651">
        <w:rPr>
          <w:color w:val="000000"/>
          <w:sz w:val="20"/>
          <w:szCs w:val="20"/>
        </w:rPr>
        <w:t>r</w:t>
      </w:r>
      <w:r w:rsidR="004B04AB">
        <w:rPr>
          <w:color w:val="000000"/>
          <w:sz w:val="20"/>
          <w:szCs w:val="20"/>
        </w:rPr>
        <w:t xml:space="preserve"> (BIS 2016, 5)</w:t>
      </w:r>
      <w:r w:rsidR="001A71E3" w:rsidRPr="002B2651">
        <w:rPr>
          <w:color w:val="000000"/>
          <w:sz w:val="20"/>
          <w:szCs w:val="20"/>
        </w:rPr>
        <w:t xml:space="preserve"> which formaliz</w:t>
      </w:r>
      <w:r w:rsidR="00884DE2" w:rsidRPr="002B2651">
        <w:rPr>
          <w:color w:val="000000"/>
          <w:sz w:val="20"/>
          <w:szCs w:val="20"/>
        </w:rPr>
        <w:t xml:space="preserve">es the introduction of the TEF identifies universities as ‘among our most valuable national assets, underpinning both a strong economy and a flourishing </w:t>
      </w:r>
      <w:r w:rsidR="00BF5E08" w:rsidRPr="002B2651">
        <w:rPr>
          <w:color w:val="000000"/>
          <w:sz w:val="20"/>
          <w:szCs w:val="20"/>
        </w:rPr>
        <w:t>society</w:t>
      </w:r>
      <w:r w:rsidR="00884DE2" w:rsidRPr="002B2651">
        <w:rPr>
          <w:color w:val="000000"/>
          <w:sz w:val="20"/>
          <w:szCs w:val="20"/>
        </w:rPr>
        <w:t>’ and ‘Po</w:t>
      </w:r>
      <w:r w:rsidR="00BF5E08" w:rsidRPr="002B2651">
        <w:rPr>
          <w:color w:val="000000"/>
          <w:sz w:val="20"/>
          <w:szCs w:val="20"/>
        </w:rPr>
        <w:t>w</w:t>
      </w:r>
      <w:r w:rsidR="00884DE2" w:rsidRPr="002B2651">
        <w:rPr>
          <w:color w:val="000000"/>
          <w:sz w:val="20"/>
          <w:szCs w:val="20"/>
        </w:rPr>
        <w:t>erhouses of intellectual and social capital’ that produce success as a knowledge econom</w:t>
      </w:r>
      <w:r w:rsidR="00C706C5" w:rsidRPr="002B2651">
        <w:rPr>
          <w:color w:val="000000"/>
          <w:sz w:val="20"/>
          <w:szCs w:val="20"/>
        </w:rPr>
        <w:t>y</w:t>
      </w:r>
      <w:r w:rsidR="004B04AB">
        <w:rPr>
          <w:color w:val="000000"/>
          <w:sz w:val="20"/>
          <w:szCs w:val="20"/>
        </w:rPr>
        <w:t>.</w:t>
      </w:r>
      <w:r w:rsidR="004B04AB">
        <w:rPr>
          <w:rStyle w:val="FootnoteReference"/>
          <w:color w:val="000000"/>
          <w:sz w:val="20"/>
          <w:szCs w:val="20"/>
        </w:rPr>
        <w:footnoteReference w:id="8"/>
      </w:r>
    </w:p>
    <w:p w14:paraId="1850AD2A" w14:textId="0F986B7A" w:rsidR="00014689" w:rsidRPr="002B2651" w:rsidRDefault="00014689" w:rsidP="00307B29">
      <w:pPr>
        <w:autoSpaceDE w:val="0"/>
        <w:autoSpaceDN w:val="0"/>
        <w:adjustRightInd w:val="0"/>
        <w:spacing w:line="480" w:lineRule="auto"/>
        <w:rPr>
          <w:color w:val="000000"/>
          <w:sz w:val="20"/>
          <w:szCs w:val="20"/>
        </w:rPr>
      </w:pPr>
    </w:p>
    <w:p w14:paraId="14E5E4A8" w14:textId="77777777" w:rsidR="00A3080D" w:rsidRDefault="00A3080D" w:rsidP="00D50570">
      <w:pPr>
        <w:autoSpaceDE w:val="0"/>
        <w:autoSpaceDN w:val="0"/>
        <w:adjustRightInd w:val="0"/>
        <w:spacing w:line="480" w:lineRule="auto"/>
        <w:rPr>
          <w:color w:val="231F20"/>
          <w:sz w:val="20"/>
          <w:szCs w:val="20"/>
        </w:rPr>
      </w:pPr>
      <w:proofErr w:type="gramStart"/>
      <w:r>
        <w:rPr>
          <w:color w:val="231F20"/>
          <w:sz w:val="20"/>
          <w:szCs w:val="20"/>
        </w:rPr>
        <w:lastRenderedPageBreak/>
        <w:t>However, t</w:t>
      </w:r>
      <w:r w:rsidR="00F81810">
        <w:rPr>
          <w:color w:val="231F20"/>
          <w:sz w:val="20"/>
          <w:szCs w:val="20"/>
        </w:rPr>
        <w:t>he ‘Americanization’</w:t>
      </w:r>
      <w:r w:rsidR="00063F69">
        <w:rPr>
          <w:color w:val="231F20"/>
          <w:sz w:val="20"/>
          <w:szCs w:val="20"/>
        </w:rPr>
        <w:t xml:space="preserve"> of </w:t>
      </w:r>
      <w:r w:rsidR="00D47FC6" w:rsidRPr="002B2651">
        <w:rPr>
          <w:color w:val="231F20"/>
          <w:sz w:val="20"/>
          <w:szCs w:val="20"/>
        </w:rPr>
        <w:t xml:space="preserve">UK </w:t>
      </w:r>
      <w:r w:rsidR="00624829" w:rsidRPr="002B2651">
        <w:rPr>
          <w:color w:val="231F20"/>
          <w:sz w:val="20"/>
          <w:szCs w:val="20"/>
        </w:rPr>
        <w:t>educational policy</w:t>
      </w:r>
      <w:r w:rsidR="00063F69">
        <w:rPr>
          <w:color w:val="231F20"/>
          <w:sz w:val="20"/>
          <w:szCs w:val="20"/>
        </w:rPr>
        <w:t xml:space="preserve"> </w:t>
      </w:r>
      <w:r w:rsidR="00F81810">
        <w:rPr>
          <w:color w:val="231F20"/>
          <w:sz w:val="20"/>
          <w:szCs w:val="20"/>
        </w:rPr>
        <w:t xml:space="preserve">has led not only to </w:t>
      </w:r>
      <w:r w:rsidR="00624829" w:rsidRPr="002B2651">
        <w:rPr>
          <w:color w:val="231F20"/>
          <w:sz w:val="20"/>
          <w:szCs w:val="20"/>
        </w:rPr>
        <w:t>a great</w:t>
      </w:r>
      <w:r w:rsidR="00711D3C">
        <w:rPr>
          <w:color w:val="231F20"/>
          <w:sz w:val="20"/>
          <w:szCs w:val="20"/>
        </w:rPr>
        <w:t>er</w:t>
      </w:r>
      <w:r w:rsidR="00624829" w:rsidRPr="002B2651">
        <w:rPr>
          <w:color w:val="231F20"/>
          <w:sz w:val="20"/>
          <w:szCs w:val="20"/>
        </w:rPr>
        <w:t xml:space="preserve"> focus upon the </w:t>
      </w:r>
      <w:r w:rsidR="00D47FC6" w:rsidRPr="002B2651">
        <w:rPr>
          <w:color w:val="231F20"/>
          <w:sz w:val="20"/>
          <w:szCs w:val="20"/>
        </w:rPr>
        <w:t xml:space="preserve">importance </w:t>
      </w:r>
      <w:r w:rsidR="00624829" w:rsidRPr="002B2651">
        <w:rPr>
          <w:color w:val="231F20"/>
          <w:sz w:val="20"/>
          <w:szCs w:val="20"/>
        </w:rPr>
        <w:t xml:space="preserve">of </w:t>
      </w:r>
      <w:r w:rsidR="00D47FC6" w:rsidRPr="002B2651">
        <w:rPr>
          <w:color w:val="231F20"/>
          <w:sz w:val="20"/>
          <w:szCs w:val="20"/>
        </w:rPr>
        <w:t>teaching excellence</w:t>
      </w:r>
      <w:r w:rsidR="00D50570">
        <w:rPr>
          <w:color w:val="231F20"/>
          <w:sz w:val="20"/>
          <w:szCs w:val="20"/>
        </w:rPr>
        <w:t>,</w:t>
      </w:r>
      <w:r w:rsidR="00624829" w:rsidRPr="002B2651">
        <w:rPr>
          <w:color w:val="231F20"/>
          <w:sz w:val="20"/>
          <w:szCs w:val="20"/>
        </w:rPr>
        <w:t xml:space="preserve"> conceived </w:t>
      </w:r>
      <w:r w:rsidR="00D47FC6" w:rsidRPr="002B2651">
        <w:rPr>
          <w:color w:val="231F20"/>
          <w:sz w:val="20"/>
          <w:szCs w:val="20"/>
        </w:rPr>
        <w:t xml:space="preserve">as a driver of </w:t>
      </w:r>
      <w:r w:rsidR="00624829" w:rsidRPr="002B2651">
        <w:rPr>
          <w:color w:val="231F20"/>
          <w:sz w:val="20"/>
          <w:szCs w:val="20"/>
        </w:rPr>
        <w:t xml:space="preserve">national </w:t>
      </w:r>
      <w:r w:rsidR="00D47FC6" w:rsidRPr="002B2651">
        <w:rPr>
          <w:color w:val="231F20"/>
          <w:sz w:val="20"/>
          <w:szCs w:val="20"/>
        </w:rPr>
        <w:t>economic productivity</w:t>
      </w:r>
      <w:r w:rsidR="00D50570">
        <w:rPr>
          <w:color w:val="231F20"/>
          <w:sz w:val="20"/>
          <w:szCs w:val="20"/>
        </w:rPr>
        <w:t>,</w:t>
      </w:r>
      <w:r w:rsidR="00F81810">
        <w:rPr>
          <w:color w:val="231F20"/>
          <w:sz w:val="20"/>
          <w:szCs w:val="20"/>
        </w:rPr>
        <w:t xml:space="preserve"> but also </w:t>
      </w:r>
      <w:r w:rsidR="00711D3C">
        <w:rPr>
          <w:color w:val="231F20"/>
          <w:sz w:val="20"/>
          <w:szCs w:val="20"/>
        </w:rPr>
        <w:t xml:space="preserve">contributed to </w:t>
      </w:r>
      <w:r w:rsidR="00D47FC6" w:rsidRPr="002B2651">
        <w:rPr>
          <w:color w:val="231F20"/>
          <w:sz w:val="20"/>
          <w:szCs w:val="20"/>
        </w:rPr>
        <w:t>a reconceptualization of the nature of teaching and learning</w:t>
      </w:r>
      <w:r w:rsidR="001C3291" w:rsidRPr="002B2651">
        <w:rPr>
          <w:color w:val="231F20"/>
          <w:sz w:val="20"/>
          <w:szCs w:val="20"/>
        </w:rPr>
        <w:t>,</w:t>
      </w:r>
      <w:r w:rsidR="00D47FC6" w:rsidRPr="002B2651">
        <w:rPr>
          <w:color w:val="231F20"/>
          <w:sz w:val="20"/>
          <w:szCs w:val="20"/>
        </w:rPr>
        <w:t xml:space="preserve"> away from a model of knowledge trans</w:t>
      </w:r>
      <w:r w:rsidR="001C3291" w:rsidRPr="002B2651">
        <w:rPr>
          <w:color w:val="231F20"/>
          <w:sz w:val="20"/>
          <w:szCs w:val="20"/>
        </w:rPr>
        <w:t xml:space="preserve">mission and passive consumption, </w:t>
      </w:r>
      <w:r w:rsidR="00D50570">
        <w:rPr>
          <w:color w:val="231F20"/>
          <w:sz w:val="20"/>
          <w:szCs w:val="20"/>
        </w:rPr>
        <w:t xml:space="preserve">towards </w:t>
      </w:r>
      <w:r w:rsidR="00624829" w:rsidRPr="002B2651">
        <w:rPr>
          <w:color w:val="231F20"/>
          <w:sz w:val="20"/>
          <w:szCs w:val="20"/>
        </w:rPr>
        <w:t>teaching and learning in the</w:t>
      </w:r>
      <w:r w:rsidR="001C3291" w:rsidRPr="002B2651">
        <w:rPr>
          <w:color w:val="231F20"/>
          <w:sz w:val="20"/>
          <w:szCs w:val="20"/>
        </w:rPr>
        <w:t xml:space="preserve"> mode of research </w:t>
      </w:r>
      <w:r w:rsidR="00D47FC6" w:rsidRPr="002B2651">
        <w:rPr>
          <w:color w:val="231F20"/>
          <w:sz w:val="20"/>
          <w:szCs w:val="20"/>
        </w:rPr>
        <w:t xml:space="preserve">(cf. Healey, Jenkins &amp; </w:t>
      </w:r>
      <w:proofErr w:type="spellStart"/>
      <w:r w:rsidR="00D47FC6" w:rsidRPr="002B2651">
        <w:rPr>
          <w:color w:val="231F20"/>
          <w:sz w:val="20"/>
          <w:szCs w:val="20"/>
        </w:rPr>
        <w:t>Zetter</w:t>
      </w:r>
      <w:proofErr w:type="spellEnd"/>
      <w:r w:rsidR="00D47FC6" w:rsidRPr="002B2651">
        <w:rPr>
          <w:color w:val="231F20"/>
          <w:sz w:val="20"/>
          <w:szCs w:val="20"/>
        </w:rPr>
        <w:t xml:space="preserve"> 2007, 11-12).</w:t>
      </w:r>
      <w:proofErr w:type="gramEnd"/>
      <w:r w:rsidR="00D47FC6" w:rsidRPr="002B2651">
        <w:rPr>
          <w:color w:val="231F20"/>
          <w:sz w:val="20"/>
          <w:szCs w:val="20"/>
        </w:rPr>
        <w:t xml:space="preserve"> </w:t>
      </w:r>
      <w:r w:rsidR="00D50570" w:rsidRPr="00D50570">
        <w:rPr>
          <w:color w:val="231F20"/>
          <w:sz w:val="20"/>
          <w:szCs w:val="20"/>
        </w:rPr>
        <w:t xml:space="preserve">Healey, Jenkins and </w:t>
      </w:r>
      <w:proofErr w:type="spellStart"/>
      <w:r w:rsidR="00D50570" w:rsidRPr="00D50570">
        <w:rPr>
          <w:color w:val="231F20"/>
          <w:sz w:val="20"/>
          <w:szCs w:val="20"/>
        </w:rPr>
        <w:t>Zetter</w:t>
      </w:r>
      <w:proofErr w:type="spellEnd"/>
      <w:r w:rsidR="00D50570" w:rsidRPr="00D50570">
        <w:rPr>
          <w:color w:val="231F20"/>
          <w:sz w:val="20"/>
          <w:szCs w:val="20"/>
        </w:rPr>
        <w:t xml:space="preserve"> (2007, 54-5) have noted the American origins of these ideas. </w:t>
      </w:r>
      <w:proofErr w:type="gramStart"/>
      <w:r w:rsidR="00D50570" w:rsidRPr="00D50570">
        <w:rPr>
          <w:color w:val="231F20"/>
          <w:sz w:val="20"/>
          <w:szCs w:val="20"/>
        </w:rPr>
        <w:t>Dearing</w:t>
      </w:r>
      <w:r w:rsidR="00D50570">
        <w:rPr>
          <w:color w:val="231F20"/>
          <w:sz w:val="20"/>
          <w:szCs w:val="20"/>
        </w:rPr>
        <w:t>’s proposal</w:t>
      </w:r>
      <w:r w:rsidR="00D50570" w:rsidRPr="00D50570">
        <w:rPr>
          <w:color w:val="231F20"/>
          <w:sz w:val="20"/>
          <w:szCs w:val="20"/>
        </w:rPr>
        <w:t xml:space="preserve"> (1997, 177 &amp; 1</w:t>
      </w:r>
      <w:r w:rsidR="00D50570">
        <w:rPr>
          <w:color w:val="231F20"/>
          <w:sz w:val="20"/>
          <w:szCs w:val="20"/>
        </w:rPr>
        <w:t xml:space="preserve">15) </w:t>
      </w:r>
      <w:r w:rsidR="00D50570" w:rsidRPr="00D50570">
        <w:rPr>
          <w:color w:val="231F20"/>
          <w:sz w:val="20"/>
          <w:szCs w:val="20"/>
        </w:rPr>
        <w:t>that less research-intensive institutions should withdraw from participating in the Research Assessment Exercise (the forerunner of the current Research Excellence</w:t>
      </w:r>
      <w:r w:rsidR="00D50570" w:rsidRPr="00D50570">
        <w:rPr>
          <w:i/>
          <w:color w:val="231F20"/>
          <w:sz w:val="20"/>
          <w:szCs w:val="20"/>
        </w:rPr>
        <w:t xml:space="preserve"> </w:t>
      </w:r>
      <w:r w:rsidR="00D50570" w:rsidRPr="00D50570">
        <w:rPr>
          <w:color w:val="231F20"/>
          <w:sz w:val="20"/>
          <w:szCs w:val="20"/>
        </w:rPr>
        <w:t>Framework) and apply for funding to develop ‘the important role of research and scholarship in i</w:t>
      </w:r>
      <w:r w:rsidR="00D50570">
        <w:rPr>
          <w:color w:val="231F20"/>
          <w:sz w:val="20"/>
          <w:szCs w:val="20"/>
        </w:rPr>
        <w:t>nforming and enhancing teaching,</w:t>
      </w:r>
      <w:r w:rsidR="00D50570" w:rsidRPr="00D50570">
        <w:rPr>
          <w:color w:val="231F20"/>
          <w:sz w:val="20"/>
          <w:szCs w:val="20"/>
        </w:rPr>
        <w:t>’</w:t>
      </w:r>
      <w:r w:rsidR="00D50570">
        <w:rPr>
          <w:color w:val="231F20"/>
          <w:sz w:val="20"/>
          <w:szCs w:val="20"/>
        </w:rPr>
        <w:t xml:space="preserve"> for example, </w:t>
      </w:r>
      <w:r w:rsidR="00D50570" w:rsidRPr="00D50570">
        <w:rPr>
          <w:color w:val="231F20"/>
          <w:sz w:val="20"/>
          <w:szCs w:val="20"/>
        </w:rPr>
        <w:t xml:space="preserve">derives from Boyer’s attempt to conceptualize distinctive forms of scholarship appropriate for less research-intensive liberal arts colleges in </w:t>
      </w:r>
      <w:r w:rsidR="00D50570" w:rsidRPr="00D50570">
        <w:rPr>
          <w:i/>
          <w:color w:val="231F20"/>
          <w:sz w:val="20"/>
          <w:szCs w:val="20"/>
        </w:rPr>
        <w:t>Scholarship Reconsidered</w:t>
      </w:r>
      <w:r w:rsidR="00D50570" w:rsidRPr="00D50570">
        <w:rPr>
          <w:color w:val="231F20"/>
          <w:sz w:val="20"/>
          <w:szCs w:val="20"/>
        </w:rPr>
        <w:t>.</w:t>
      </w:r>
      <w:proofErr w:type="gramEnd"/>
      <w:r w:rsidR="00D50570" w:rsidRPr="00D50570">
        <w:rPr>
          <w:color w:val="231F20"/>
          <w:sz w:val="20"/>
          <w:szCs w:val="20"/>
        </w:rPr>
        <w:t xml:space="preserve"> </w:t>
      </w:r>
    </w:p>
    <w:p w14:paraId="373579FE" w14:textId="77777777" w:rsidR="00A3080D" w:rsidRDefault="00A3080D" w:rsidP="00D50570">
      <w:pPr>
        <w:autoSpaceDE w:val="0"/>
        <w:autoSpaceDN w:val="0"/>
        <w:adjustRightInd w:val="0"/>
        <w:spacing w:line="480" w:lineRule="auto"/>
        <w:rPr>
          <w:color w:val="231F20"/>
          <w:sz w:val="20"/>
          <w:szCs w:val="20"/>
        </w:rPr>
      </w:pPr>
    </w:p>
    <w:p w14:paraId="5EBA2B72" w14:textId="4E0CEF08" w:rsidR="007163EB" w:rsidRDefault="00D50570" w:rsidP="00D50570">
      <w:pPr>
        <w:autoSpaceDE w:val="0"/>
        <w:autoSpaceDN w:val="0"/>
        <w:adjustRightInd w:val="0"/>
        <w:spacing w:line="480" w:lineRule="auto"/>
        <w:rPr>
          <w:color w:val="231F20"/>
          <w:sz w:val="20"/>
          <w:szCs w:val="20"/>
        </w:rPr>
      </w:pPr>
      <w:proofErr w:type="gramStart"/>
      <w:r w:rsidRPr="00D50570">
        <w:rPr>
          <w:color w:val="231F20"/>
          <w:sz w:val="20"/>
          <w:szCs w:val="20"/>
        </w:rPr>
        <w:t xml:space="preserve">It was, however, originally in order to reflect the distinctiveness and diversity of the American higher education system and to challenge the ‘dominant view, [that] to be a scholar is to be a researcher’ that Boyer, in </w:t>
      </w:r>
      <w:r w:rsidRPr="00D50570">
        <w:rPr>
          <w:i/>
          <w:color w:val="231F20"/>
          <w:sz w:val="20"/>
          <w:szCs w:val="20"/>
        </w:rPr>
        <w:t>Scholarship Reconsidered</w:t>
      </w:r>
      <w:r w:rsidRPr="00D50570">
        <w:rPr>
          <w:color w:val="231F20"/>
          <w:sz w:val="20"/>
          <w:szCs w:val="20"/>
        </w:rPr>
        <w:t xml:space="preserve"> (1990, 2 &amp;15), advocated a more ‘comprehensive …dynamic understanding of scholarship,’ that included discovery, integration, application, and teaching, and their overlapping interrelationship.</w:t>
      </w:r>
      <w:proofErr w:type="gramEnd"/>
      <w:r w:rsidRPr="00D50570">
        <w:rPr>
          <w:color w:val="231F20"/>
          <w:sz w:val="20"/>
          <w:szCs w:val="20"/>
        </w:rPr>
        <w:t xml:space="preserve"> </w:t>
      </w:r>
      <w:r w:rsidR="007163EB" w:rsidRPr="007163EB">
        <w:rPr>
          <w:color w:val="231F20"/>
          <w:sz w:val="20"/>
          <w:szCs w:val="20"/>
        </w:rPr>
        <w:t xml:space="preserve">Rice (1991) concurred with Boyer that quality teaching requires a distinct form of scholarship that builds upon but is separate from the scholarship of discovery, and extended Boyer’s framework by integrating it with Kolb’s analysis of dimensions of learning to produce a taxonomy of different “ways of knowing” within scholarship. </w:t>
      </w:r>
      <w:proofErr w:type="gramStart"/>
      <w:r w:rsidR="007163EB" w:rsidRPr="007163EB">
        <w:rPr>
          <w:color w:val="231F20"/>
          <w:sz w:val="20"/>
          <w:szCs w:val="20"/>
        </w:rPr>
        <w:t>This was used by Griffiths (2004) to articulate four types of relationship between teaching and research</w:t>
      </w:r>
      <w:proofErr w:type="gramEnd"/>
      <w:r w:rsidR="007163EB" w:rsidRPr="007163EB">
        <w:rPr>
          <w:color w:val="231F20"/>
          <w:sz w:val="20"/>
          <w:szCs w:val="20"/>
        </w:rPr>
        <w:t>: teaching and learning that was research-led, research-oriented, research-based and research-informed. Healey (2005) has expressed these differences diagrammatically, distinguishing between students emphasised as audience or participants and research emphasised as content or processes, and added the category of ‘research-tutored’ teaching and learning. Most recently, a University of Bedfordshire (2010) guide distinguishe</w:t>
      </w:r>
      <w:r w:rsidR="00A3080D">
        <w:rPr>
          <w:color w:val="231F20"/>
          <w:sz w:val="20"/>
          <w:szCs w:val="20"/>
        </w:rPr>
        <w:t>s more broadly between Research-</w:t>
      </w:r>
      <w:r w:rsidR="007163EB" w:rsidRPr="007163EB">
        <w:rPr>
          <w:color w:val="231F20"/>
          <w:sz w:val="20"/>
          <w:szCs w:val="20"/>
        </w:rPr>
        <w:t>informed Teaching (</w:t>
      </w:r>
      <w:proofErr w:type="spellStart"/>
      <w:r w:rsidR="007163EB" w:rsidRPr="007163EB">
        <w:rPr>
          <w:color w:val="231F20"/>
          <w:sz w:val="20"/>
          <w:szCs w:val="20"/>
        </w:rPr>
        <w:t>RiT</w:t>
      </w:r>
      <w:proofErr w:type="spellEnd"/>
      <w:r w:rsidR="007163EB" w:rsidRPr="007163EB">
        <w:rPr>
          <w:color w:val="231F20"/>
          <w:sz w:val="20"/>
          <w:szCs w:val="20"/>
        </w:rPr>
        <w:t>), which encompasses research-led and research-orientated activities emphasizing teaching research content to an aud</w:t>
      </w:r>
      <w:r w:rsidR="00A3080D">
        <w:rPr>
          <w:color w:val="231F20"/>
          <w:sz w:val="20"/>
          <w:szCs w:val="20"/>
        </w:rPr>
        <w:t>ience of students, and Research-</w:t>
      </w:r>
      <w:r w:rsidR="007163EB" w:rsidRPr="007163EB">
        <w:rPr>
          <w:color w:val="231F20"/>
          <w:sz w:val="20"/>
          <w:szCs w:val="20"/>
        </w:rPr>
        <w:t>informed Learning (</w:t>
      </w:r>
      <w:proofErr w:type="spellStart"/>
      <w:r w:rsidR="007163EB" w:rsidRPr="007163EB">
        <w:rPr>
          <w:color w:val="231F20"/>
          <w:sz w:val="20"/>
          <w:szCs w:val="20"/>
        </w:rPr>
        <w:t>RiL</w:t>
      </w:r>
      <w:proofErr w:type="spellEnd"/>
      <w:r w:rsidR="007163EB" w:rsidRPr="007163EB">
        <w:rPr>
          <w:color w:val="231F20"/>
          <w:sz w:val="20"/>
          <w:szCs w:val="20"/>
        </w:rPr>
        <w:t xml:space="preserve">), including research-based and research-tutored practices developing research skills and processes in students as participants. </w:t>
      </w:r>
    </w:p>
    <w:p w14:paraId="1F4B96AF" w14:textId="55BE67A3" w:rsidR="007163EB" w:rsidRDefault="007163EB" w:rsidP="00D50570">
      <w:pPr>
        <w:autoSpaceDE w:val="0"/>
        <w:autoSpaceDN w:val="0"/>
        <w:adjustRightInd w:val="0"/>
        <w:spacing w:line="480" w:lineRule="auto"/>
        <w:rPr>
          <w:color w:val="231F20"/>
          <w:sz w:val="20"/>
          <w:szCs w:val="20"/>
        </w:rPr>
      </w:pPr>
    </w:p>
    <w:p w14:paraId="761CF46F" w14:textId="77777777" w:rsidR="00A3080D" w:rsidRDefault="00A3080D" w:rsidP="00287DFD">
      <w:pPr>
        <w:autoSpaceDE w:val="0"/>
        <w:autoSpaceDN w:val="0"/>
        <w:adjustRightInd w:val="0"/>
        <w:spacing w:line="480" w:lineRule="auto"/>
        <w:rPr>
          <w:color w:val="231F20"/>
          <w:sz w:val="20"/>
          <w:szCs w:val="20"/>
        </w:rPr>
      </w:pPr>
      <w:r>
        <w:rPr>
          <w:color w:val="231F20"/>
          <w:sz w:val="20"/>
          <w:szCs w:val="20"/>
        </w:rPr>
        <w:t xml:space="preserve">As this development of Boyer’s concept of scholarship suggests, the integration of research and teaching under the divergent pressures of ‘research excellence’ and ‘teaching excellence’ has come to subsume all notions of </w:t>
      </w:r>
      <w:r>
        <w:rPr>
          <w:color w:val="231F20"/>
          <w:sz w:val="20"/>
          <w:szCs w:val="20"/>
        </w:rPr>
        <w:lastRenderedPageBreak/>
        <w:t xml:space="preserve">scholarship and teaching under that of research. </w:t>
      </w:r>
      <w:proofErr w:type="gramStart"/>
      <w:r>
        <w:rPr>
          <w:color w:val="231F20"/>
          <w:sz w:val="20"/>
          <w:szCs w:val="20"/>
        </w:rPr>
        <w:t xml:space="preserve">Significantly, </w:t>
      </w:r>
      <w:r w:rsidR="00D50570" w:rsidRPr="00D50570">
        <w:rPr>
          <w:iCs/>
          <w:color w:val="231F20"/>
          <w:sz w:val="20"/>
          <w:szCs w:val="20"/>
        </w:rPr>
        <w:t xml:space="preserve">the final report of the Boyer Commission (1998, 7-15) </w:t>
      </w:r>
      <w:r w:rsidR="007163EB">
        <w:rPr>
          <w:iCs/>
          <w:color w:val="231F20"/>
          <w:sz w:val="20"/>
          <w:szCs w:val="20"/>
        </w:rPr>
        <w:t xml:space="preserve">emphasizes </w:t>
      </w:r>
      <w:r w:rsidR="00D50570" w:rsidRPr="00D50570">
        <w:rPr>
          <w:iCs/>
          <w:color w:val="231F20"/>
          <w:sz w:val="20"/>
          <w:szCs w:val="20"/>
        </w:rPr>
        <w:t xml:space="preserve">the benefits of </w:t>
      </w:r>
      <w:r w:rsidR="007163EB">
        <w:rPr>
          <w:iCs/>
          <w:color w:val="231F20"/>
          <w:sz w:val="20"/>
          <w:szCs w:val="20"/>
        </w:rPr>
        <w:t xml:space="preserve">integrating research and teaching </w:t>
      </w:r>
      <w:r w:rsidR="00D50570" w:rsidRPr="00D50570">
        <w:rPr>
          <w:iCs/>
          <w:color w:val="231F20"/>
          <w:sz w:val="20"/>
          <w:szCs w:val="20"/>
        </w:rPr>
        <w:t xml:space="preserve">in terms of the </w:t>
      </w:r>
      <w:r w:rsidR="00D50570" w:rsidRPr="00D50570">
        <w:rPr>
          <w:i/>
          <w:iCs/>
          <w:color w:val="231F20"/>
          <w:sz w:val="20"/>
          <w:szCs w:val="20"/>
        </w:rPr>
        <w:t xml:space="preserve">productivity </w:t>
      </w:r>
      <w:r w:rsidR="00D50570" w:rsidRPr="00D50570">
        <w:rPr>
          <w:iCs/>
          <w:color w:val="231F20"/>
          <w:sz w:val="20"/>
          <w:szCs w:val="20"/>
        </w:rPr>
        <w:t xml:space="preserve">of research: that investment in ‘productive research faculties’ might do ‘double duty’ – become </w:t>
      </w:r>
      <w:r w:rsidR="00D50570" w:rsidRPr="00D50570">
        <w:rPr>
          <w:i/>
          <w:iCs/>
          <w:color w:val="231F20"/>
          <w:sz w:val="20"/>
          <w:szCs w:val="20"/>
        </w:rPr>
        <w:t xml:space="preserve">doubly </w:t>
      </w:r>
      <w:r w:rsidR="00D50570" w:rsidRPr="00D50570">
        <w:rPr>
          <w:iCs/>
          <w:color w:val="231F20"/>
          <w:sz w:val="20"/>
          <w:szCs w:val="20"/>
        </w:rPr>
        <w:t xml:space="preserve">productive – if research </w:t>
      </w:r>
      <w:r w:rsidR="007163EB">
        <w:rPr>
          <w:iCs/>
          <w:color w:val="231F20"/>
          <w:sz w:val="20"/>
          <w:szCs w:val="20"/>
        </w:rPr>
        <w:t>is</w:t>
      </w:r>
      <w:r w:rsidR="00D50570" w:rsidRPr="00D50570">
        <w:rPr>
          <w:iCs/>
          <w:color w:val="231F20"/>
          <w:sz w:val="20"/>
          <w:szCs w:val="20"/>
        </w:rPr>
        <w:t xml:space="preserve"> integrated with teaching</w:t>
      </w:r>
      <w:r w:rsidR="007163EB">
        <w:rPr>
          <w:iCs/>
          <w:color w:val="231F20"/>
          <w:sz w:val="20"/>
          <w:szCs w:val="20"/>
        </w:rPr>
        <w:t>,</w:t>
      </w:r>
      <w:r w:rsidR="00D50570" w:rsidRPr="00D50570">
        <w:rPr>
          <w:iCs/>
          <w:color w:val="231F20"/>
          <w:sz w:val="20"/>
          <w:szCs w:val="20"/>
        </w:rPr>
        <w:t xml:space="preserve"> ‘restructuring both the pedagogical and the integrative aspects of the research university experience’ to make ‘research-based learning the standard.’</w:t>
      </w:r>
      <w:proofErr w:type="gramEnd"/>
      <w:r w:rsidR="007163EB">
        <w:rPr>
          <w:iCs/>
          <w:color w:val="231F20"/>
          <w:sz w:val="20"/>
          <w:szCs w:val="20"/>
        </w:rPr>
        <w:t xml:space="preserve"> </w:t>
      </w:r>
      <w:proofErr w:type="gramStart"/>
      <w:r w:rsidR="007163EB">
        <w:rPr>
          <w:iCs/>
          <w:color w:val="231F20"/>
          <w:sz w:val="20"/>
          <w:szCs w:val="20"/>
        </w:rPr>
        <w:t xml:space="preserve">Similarly, </w:t>
      </w:r>
      <w:r w:rsidR="007163EB">
        <w:rPr>
          <w:color w:val="231F20"/>
          <w:sz w:val="20"/>
          <w:szCs w:val="20"/>
        </w:rPr>
        <w:t>although t</w:t>
      </w:r>
      <w:r w:rsidR="007B2538" w:rsidRPr="002B2651">
        <w:rPr>
          <w:color w:val="231F20"/>
          <w:sz w:val="20"/>
          <w:szCs w:val="20"/>
        </w:rPr>
        <w:t>he</w:t>
      </w:r>
      <w:r w:rsidR="007163EB">
        <w:rPr>
          <w:color w:val="231F20"/>
          <w:sz w:val="20"/>
          <w:szCs w:val="20"/>
        </w:rPr>
        <w:t xml:space="preserve"> UK’s Research Forum, established following the</w:t>
      </w:r>
      <w:r w:rsidR="007B2538" w:rsidRPr="002B2651">
        <w:rPr>
          <w:color w:val="231F20"/>
          <w:sz w:val="20"/>
          <w:szCs w:val="20"/>
        </w:rPr>
        <w:t xml:space="preserve"> 2003 White Paper </w:t>
      </w:r>
      <w:r w:rsidR="007B2538" w:rsidRPr="002B2651">
        <w:rPr>
          <w:i/>
          <w:color w:val="231F20"/>
          <w:sz w:val="20"/>
          <w:szCs w:val="20"/>
        </w:rPr>
        <w:t>The Future of Higher Education</w:t>
      </w:r>
      <w:r w:rsidR="007163EB">
        <w:rPr>
          <w:color w:val="231F20"/>
          <w:sz w:val="20"/>
          <w:szCs w:val="20"/>
        </w:rPr>
        <w:t xml:space="preserve">, </w:t>
      </w:r>
      <w:r w:rsidR="007B2538" w:rsidRPr="002B2651">
        <w:rPr>
          <w:color w:val="231F20"/>
          <w:sz w:val="20"/>
          <w:szCs w:val="20"/>
        </w:rPr>
        <w:t xml:space="preserve">concluded that ‘research and teaching are essential and intertwined characteristics of a university’ (The Research Forum Report June 2004, quoted </w:t>
      </w:r>
      <w:r w:rsidR="007163EB">
        <w:rPr>
          <w:color w:val="231F20"/>
          <w:sz w:val="20"/>
          <w:szCs w:val="20"/>
        </w:rPr>
        <w:t xml:space="preserve">in Jenkins and Healy 2005, 51), </w:t>
      </w:r>
      <w:r w:rsidR="007B2538" w:rsidRPr="002B2651">
        <w:rPr>
          <w:color w:val="231F20"/>
          <w:sz w:val="20"/>
          <w:szCs w:val="20"/>
        </w:rPr>
        <w:t xml:space="preserve">investigations into the specific nature of this relationship came to focus almost entirely on the positive benefits of research and scholarship </w:t>
      </w:r>
      <w:r w:rsidR="007B2538" w:rsidRPr="002B2651">
        <w:rPr>
          <w:i/>
          <w:color w:val="231F20"/>
          <w:sz w:val="20"/>
          <w:szCs w:val="20"/>
        </w:rPr>
        <w:t>upon</w:t>
      </w:r>
      <w:r w:rsidR="007B2538" w:rsidRPr="002B2651">
        <w:rPr>
          <w:color w:val="231F20"/>
          <w:sz w:val="20"/>
          <w:szCs w:val="20"/>
        </w:rPr>
        <w:t xml:space="preserve"> teaching, suggesting (The Research Forum Report June 2004, quoted in Jenkins and Healy 2005, 52) that ‘students who are not learning in an HE environment that is informed by research …are at a disadvantage compared to those who are.’</w:t>
      </w:r>
      <w:proofErr w:type="gramEnd"/>
      <w:r w:rsidR="007B2538" w:rsidRPr="002B2651">
        <w:rPr>
          <w:color w:val="231F20"/>
          <w:sz w:val="20"/>
          <w:szCs w:val="20"/>
        </w:rPr>
        <w:t xml:space="preserve"> In response to the Forum, the government established a special fund ‘to support “research-informed teaching” outside of the research elite,’ based on the assumption that those already receiving high research income were already delivering or had the means to deliver research-based or research-led teaching, and that this </w:t>
      </w:r>
      <w:r w:rsidR="00DE2718">
        <w:rPr>
          <w:color w:val="231F20"/>
          <w:sz w:val="20"/>
          <w:szCs w:val="20"/>
        </w:rPr>
        <w:t>should be</w:t>
      </w:r>
      <w:r w:rsidR="007B2538" w:rsidRPr="002B2651">
        <w:rPr>
          <w:color w:val="231F20"/>
          <w:sz w:val="20"/>
          <w:szCs w:val="20"/>
        </w:rPr>
        <w:t xml:space="preserve"> </w:t>
      </w:r>
      <w:r w:rsidR="00826955" w:rsidRPr="002B2651">
        <w:rPr>
          <w:color w:val="231F20"/>
          <w:sz w:val="20"/>
          <w:szCs w:val="20"/>
        </w:rPr>
        <w:t xml:space="preserve">the </w:t>
      </w:r>
      <w:r w:rsidR="007B2538" w:rsidRPr="002B2651">
        <w:rPr>
          <w:color w:val="231F20"/>
          <w:sz w:val="20"/>
          <w:szCs w:val="20"/>
        </w:rPr>
        <w:t xml:space="preserve">norm (Healey, Jenkins &amp; </w:t>
      </w:r>
      <w:proofErr w:type="spellStart"/>
      <w:r w:rsidR="007B2538" w:rsidRPr="002B2651">
        <w:rPr>
          <w:color w:val="231F20"/>
          <w:sz w:val="20"/>
          <w:szCs w:val="20"/>
        </w:rPr>
        <w:t>Zetter</w:t>
      </w:r>
      <w:proofErr w:type="spellEnd"/>
      <w:r w:rsidR="007B2538" w:rsidRPr="002B2651">
        <w:rPr>
          <w:color w:val="231F20"/>
          <w:sz w:val="20"/>
          <w:szCs w:val="20"/>
        </w:rPr>
        <w:t xml:space="preserve"> 2007, 11-12).</w:t>
      </w:r>
    </w:p>
    <w:p w14:paraId="710C7EBF" w14:textId="77777777" w:rsidR="00A3080D" w:rsidRDefault="00A3080D" w:rsidP="00287DFD">
      <w:pPr>
        <w:autoSpaceDE w:val="0"/>
        <w:autoSpaceDN w:val="0"/>
        <w:adjustRightInd w:val="0"/>
        <w:spacing w:line="480" w:lineRule="auto"/>
        <w:rPr>
          <w:color w:val="231F20"/>
          <w:sz w:val="20"/>
          <w:szCs w:val="20"/>
        </w:rPr>
      </w:pPr>
    </w:p>
    <w:p w14:paraId="0DC6A450" w14:textId="4C8DF8B6" w:rsidR="007B2538" w:rsidRPr="00A3080D" w:rsidRDefault="00912B3D" w:rsidP="007B2538">
      <w:pPr>
        <w:autoSpaceDE w:val="0"/>
        <w:autoSpaceDN w:val="0"/>
        <w:adjustRightInd w:val="0"/>
        <w:spacing w:line="480" w:lineRule="auto"/>
        <w:rPr>
          <w:iCs/>
          <w:color w:val="231F20"/>
          <w:sz w:val="20"/>
          <w:szCs w:val="20"/>
        </w:rPr>
      </w:pPr>
      <w:r w:rsidRPr="002B2651">
        <w:rPr>
          <w:color w:val="231F20"/>
          <w:sz w:val="20"/>
          <w:szCs w:val="20"/>
        </w:rPr>
        <w:t>Since 2004 assumptions about research-based learning and teaching excellence have become commonplace in English higher education, with claims regarding research-led teaching prevalent throughout the sector and initiatives to develop learners as researchers and co-researchers growing, much of this informed the scholarship of teaching and learning (</w:t>
      </w:r>
      <w:proofErr w:type="spellStart"/>
      <w:r w:rsidRPr="002B2651">
        <w:rPr>
          <w:color w:val="231F20"/>
          <w:sz w:val="20"/>
          <w:szCs w:val="20"/>
        </w:rPr>
        <w:t>Zamorsky</w:t>
      </w:r>
      <w:proofErr w:type="spellEnd"/>
      <w:r w:rsidRPr="002B2651">
        <w:rPr>
          <w:color w:val="231F20"/>
          <w:sz w:val="20"/>
          <w:szCs w:val="20"/>
        </w:rPr>
        <w:t xml:space="preserve"> 2002; Healey 2005; Hughes 2005; Little et. al. 2007; Gunn &amp; Fisk 2013</w:t>
      </w:r>
      <w:r w:rsidR="00A3080D">
        <w:rPr>
          <w:iCs/>
          <w:color w:val="231F20"/>
          <w:sz w:val="20"/>
          <w:szCs w:val="20"/>
        </w:rPr>
        <w:t xml:space="preserve">). </w:t>
      </w:r>
      <w:r w:rsidR="007B2538" w:rsidRPr="002B2651">
        <w:rPr>
          <w:color w:val="231F20"/>
          <w:sz w:val="20"/>
          <w:szCs w:val="20"/>
        </w:rPr>
        <w:t xml:space="preserve">Writing on the context and influence of the Boyer Commission report, </w:t>
      </w:r>
      <w:proofErr w:type="spellStart"/>
      <w:r w:rsidR="007B2538" w:rsidRPr="002B2651">
        <w:rPr>
          <w:color w:val="231F20"/>
          <w:sz w:val="20"/>
          <w:szCs w:val="20"/>
        </w:rPr>
        <w:t>Katkin</w:t>
      </w:r>
      <w:proofErr w:type="spellEnd"/>
      <w:r w:rsidR="007B2538" w:rsidRPr="002B2651">
        <w:rPr>
          <w:color w:val="231F20"/>
          <w:sz w:val="20"/>
          <w:szCs w:val="20"/>
        </w:rPr>
        <w:t xml:space="preserve"> (2003, 33) argues that the implementation of its vision of research-informed teaching has been limited in scope because imposed from the top-down, primarily for marketing purposes. Skelton (2005, 67)</w:t>
      </w:r>
      <w:r w:rsidR="006021C2" w:rsidRPr="002B2651">
        <w:rPr>
          <w:color w:val="231F20"/>
          <w:sz w:val="20"/>
          <w:szCs w:val="20"/>
        </w:rPr>
        <w:t xml:space="preserve">, however, </w:t>
      </w:r>
      <w:r w:rsidR="007B2538" w:rsidRPr="002B2651">
        <w:rPr>
          <w:color w:val="231F20"/>
          <w:sz w:val="20"/>
          <w:szCs w:val="20"/>
        </w:rPr>
        <w:t>criticizes the</w:t>
      </w:r>
      <w:r w:rsidR="006021C2" w:rsidRPr="002B2651">
        <w:rPr>
          <w:color w:val="231F20"/>
          <w:sz w:val="20"/>
          <w:szCs w:val="20"/>
        </w:rPr>
        <w:t xml:space="preserve"> very</w:t>
      </w:r>
      <w:r w:rsidR="007B2538" w:rsidRPr="002B2651">
        <w:rPr>
          <w:color w:val="231F20"/>
          <w:sz w:val="20"/>
          <w:szCs w:val="20"/>
        </w:rPr>
        <w:t xml:space="preserve"> discourse of research-led teaching excellence </w:t>
      </w:r>
      <w:r w:rsidR="00DE2718">
        <w:rPr>
          <w:color w:val="231F20"/>
          <w:sz w:val="20"/>
          <w:szCs w:val="20"/>
        </w:rPr>
        <w:t xml:space="preserve">itself </w:t>
      </w:r>
      <w:r w:rsidR="007B2538" w:rsidRPr="002B2651">
        <w:rPr>
          <w:color w:val="231F20"/>
          <w:sz w:val="20"/>
          <w:szCs w:val="20"/>
        </w:rPr>
        <w:t xml:space="preserve">as problematically associated with elitism and privilege. </w:t>
      </w:r>
      <w:proofErr w:type="gramStart"/>
      <w:r w:rsidR="007B2538" w:rsidRPr="002B2651">
        <w:rPr>
          <w:color w:val="231F20"/>
          <w:sz w:val="20"/>
          <w:szCs w:val="20"/>
        </w:rPr>
        <w:t xml:space="preserve">In this context, we should note how the dominance of research-led teaching excellence has been endorsed and in part driven by the influence and interests of elite English universities belonging to the more research-intensive Russell Group, who have </w:t>
      </w:r>
      <w:r w:rsidR="00DE2718">
        <w:rPr>
          <w:color w:val="231F20"/>
          <w:sz w:val="20"/>
          <w:szCs w:val="20"/>
        </w:rPr>
        <w:t>(</w:t>
      </w:r>
      <w:r w:rsidR="00DE2718" w:rsidRPr="002B2651">
        <w:rPr>
          <w:color w:val="231F20"/>
          <w:sz w:val="20"/>
          <w:szCs w:val="20"/>
        </w:rPr>
        <w:t xml:space="preserve">House of Commons Business, Innovation and Skills Committee 2009, </w:t>
      </w:r>
      <w:proofErr w:type="spellStart"/>
      <w:r w:rsidR="00DE2718" w:rsidRPr="002B2651">
        <w:rPr>
          <w:color w:val="231F20"/>
          <w:sz w:val="20"/>
          <w:szCs w:val="20"/>
        </w:rPr>
        <w:t>Ev</w:t>
      </w:r>
      <w:proofErr w:type="spellEnd"/>
      <w:r w:rsidR="00DE2718" w:rsidRPr="002B2651">
        <w:rPr>
          <w:color w:val="231F20"/>
          <w:sz w:val="20"/>
          <w:szCs w:val="20"/>
        </w:rPr>
        <w:t>. 428; Russell Group; LSE 2011)</w:t>
      </w:r>
      <w:r w:rsidR="00DE2718">
        <w:rPr>
          <w:color w:val="231F20"/>
          <w:sz w:val="20"/>
          <w:szCs w:val="20"/>
        </w:rPr>
        <w:t xml:space="preserve"> </w:t>
      </w:r>
      <w:r w:rsidR="007B2538" w:rsidRPr="002B2651">
        <w:rPr>
          <w:color w:val="231F20"/>
          <w:sz w:val="20"/>
          <w:szCs w:val="20"/>
        </w:rPr>
        <w:t xml:space="preserve">couched the benefits of such learning and teaching in terms that resonate with human capital theories of the learning society, including valued-added benefits such as wage premiums relating to the development </w:t>
      </w:r>
      <w:r w:rsidR="007B2538" w:rsidRPr="002B2651">
        <w:rPr>
          <w:color w:val="231F20"/>
          <w:sz w:val="20"/>
          <w:szCs w:val="20"/>
        </w:rPr>
        <w:lastRenderedPageBreak/>
        <w:t>independence of thought, entrepreneurial and transferable skills, and the ability to handle uncertainty and new problems central to rapidly evolving workplaces of the knowledge-economy.</w:t>
      </w:r>
      <w:proofErr w:type="gramEnd"/>
    </w:p>
    <w:p w14:paraId="7C4B0E2B" w14:textId="790410D7" w:rsidR="00D50570" w:rsidRDefault="00D50570" w:rsidP="007B2538">
      <w:pPr>
        <w:autoSpaceDE w:val="0"/>
        <w:autoSpaceDN w:val="0"/>
        <w:adjustRightInd w:val="0"/>
        <w:spacing w:line="480" w:lineRule="auto"/>
        <w:rPr>
          <w:color w:val="231F20"/>
          <w:sz w:val="20"/>
          <w:szCs w:val="20"/>
        </w:rPr>
      </w:pPr>
    </w:p>
    <w:p w14:paraId="2C06F055" w14:textId="1E19A8DF" w:rsidR="00D50570" w:rsidRPr="002B2651" w:rsidRDefault="00D50570" w:rsidP="007B2538">
      <w:pPr>
        <w:autoSpaceDE w:val="0"/>
        <w:autoSpaceDN w:val="0"/>
        <w:adjustRightInd w:val="0"/>
        <w:spacing w:line="480" w:lineRule="auto"/>
        <w:rPr>
          <w:color w:val="231F20"/>
          <w:sz w:val="20"/>
          <w:szCs w:val="20"/>
        </w:rPr>
      </w:pPr>
      <w:r w:rsidRPr="00D50570">
        <w:rPr>
          <w:color w:val="231F20"/>
          <w:sz w:val="20"/>
          <w:szCs w:val="20"/>
        </w:rPr>
        <w:t xml:space="preserve">My contention here is, therefore, that what Readings calls the ‘Americanization’ of higher education functions as a euphemism for the application of neoclassical economic theories of capital to activities such as learning, research and academic scholarship. </w:t>
      </w:r>
      <w:proofErr w:type="gramStart"/>
      <w:r w:rsidRPr="00D50570">
        <w:rPr>
          <w:color w:val="231F20"/>
          <w:sz w:val="20"/>
          <w:szCs w:val="20"/>
        </w:rPr>
        <w:t xml:space="preserve">Significantly, and against some of the critical discourse that focuses on the neoliberal commodification of higher education, this doesn’t simply reduce contemporary higher education to what Readings (1996, 6 &amp; 21) characterizes as a purely bureaucratic corporation, a </w:t>
      </w:r>
      <w:proofErr w:type="spellStart"/>
      <w:r w:rsidRPr="00D50570">
        <w:rPr>
          <w:color w:val="231F20"/>
          <w:sz w:val="20"/>
          <w:szCs w:val="20"/>
        </w:rPr>
        <w:t>posthistorical</w:t>
      </w:r>
      <w:proofErr w:type="spellEnd"/>
      <w:r w:rsidRPr="00D50570">
        <w:rPr>
          <w:color w:val="231F20"/>
          <w:sz w:val="20"/>
          <w:szCs w:val="20"/>
        </w:rPr>
        <w:t xml:space="preserve"> and non-ideological entity disconnected from the historical project of the nation-state; nor does it simply envision the student, in a context in which teaching is supposedly considered entirely quantified and undervalued in favour of research, ‘entirely as consumer’ (Readings 1996, 1 &amp; 27).</w:t>
      </w:r>
      <w:proofErr w:type="gramEnd"/>
      <w:r w:rsidRPr="00D50570">
        <w:rPr>
          <w:color w:val="231F20"/>
          <w:sz w:val="20"/>
          <w:szCs w:val="20"/>
        </w:rPr>
        <w:t xml:space="preserve"> </w:t>
      </w:r>
      <w:proofErr w:type="gramStart"/>
      <w:r w:rsidRPr="00D50570">
        <w:rPr>
          <w:color w:val="231F20"/>
          <w:sz w:val="20"/>
          <w:szCs w:val="20"/>
        </w:rPr>
        <w:t xml:space="preserve">What is overlooked by such analyses, as the historical anxieties about the learning society demonstrate, is how the focus on </w:t>
      </w:r>
      <w:r w:rsidRPr="00D50570">
        <w:rPr>
          <w:i/>
          <w:color w:val="231F20"/>
          <w:sz w:val="20"/>
          <w:szCs w:val="20"/>
        </w:rPr>
        <w:t>quality</w:t>
      </w:r>
      <w:r w:rsidRPr="00D50570">
        <w:rPr>
          <w:color w:val="231F20"/>
          <w:sz w:val="20"/>
          <w:szCs w:val="20"/>
        </w:rPr>
        <w:t xml:space="preserve"> of education and on teaching excellence are connected to the need for state-directed interventions within the education industry in order to increase national productivity in the interests of capital, in a way that conceives of learning as a form of productive investment and therefore situates and obligates the student primarily as </w:t>
      </w:r>
      <w:r w:rsidRPr="00D50570">
        <w:rPr>
          <w:i/>
          <w:color w:val="231F20"/>
          <w:sz w:val="20"/>
          <w:szCs w:val="20"/>
        </w:rPr>
        <w:t>producer</w:t>
      </w:r>
      <w:r w:rsidRPr="00D50570">
        <w:rPr>
          <w:color w:val="231F20"/>
          <w:sz w:val="20"/>
          <w:szCs w:val="20"/>
        </w:rPr>
        <w:t>: of their own – and collectively, the nation’s – future income and, significantly, of their own learning.</w:t>
      </w:r>
      <w:proofErr w:type="gramEnd"/>
      <w:r w:rsidRPr="00D50570">
        <w:rPr>
          <w:color w:val="231F20"/>
          <w:sz w:val="20"/>
          <w:szCs w:val="20"/>
        </w:rPr>
        <w:t xml:space="preserve"> </w:t>
      </w:r>
    </w:p>
    <w:p w14:paraId="0C7048AA" w14:textId="77777777" w:rsidR="00713134" w:rsidRPr="002B2651" w:rsidRDefault="00713134" w:rsidP="007B2538">
      <w:pPr>
        <w:autoSpaceDE w:val="0"/>
        <w:autoSpaceDN w:val="0"/>
        <w:adjustRightInd w:val="0"/>
        <w:spacing w:line="480" w:lineRule="auto"/>
        <w:rPr>
          <w:color w:val="231F20"/>
          <w:sz w:val="20"/>
          <w:szCs w:val="20"/>
        </w:rPr>
      </w:pPr>
    </w:p>
    <w:p w14:paraId="069755C0" w14:textId="41C4775A" w:rsidR="00B57D45" w:rsidRDefault="00F04CC9" w:rsidP="00BA1931">
      <w:pPr>
        <w:pStyle w:val="ListParagraph"/>
        <w:numPr>
          <w:ilvl w:val="0"/>
          <w:numId w:val="14"/>
        </w:numPr>
        <w:autoSpaceDE w:val="0"/>
        <w:autoSpaceDN w:val="0"/>
        <w:adjustRightInd w:val="0"/>
        <w:spacing w:line="480" w:lineRule="auto"/>
        <w:rPr>
          <w:b/>
          <w:color w:val="231F20"/>
          <w:sz w:val="20"/>
          <w:szCs w:val="20"/>
        </w:rPr>
      </w:pPr>
      <w:r w:rsidRPr="002B2651">
        <w:rPr>
          <w:b/>
          <w:color w:val="231F20"/>
          <w:sz w:val="20"/>
          <w:szCs w:val="20"/>
        </w:rPr>
        <w:t>Scholarship of Teaching</w:t>
      </w:r>
      <w:r w:rsidR="00066DBA" w:rsidRPr="002B2651">
        <w:rPr>
          <w:b/>
          <w:color w:val="231F20"/>
          <w:sz w:val="20"/>
          <w:szCs w:val="20"/>
        </w:rPr>
        <w:t xml:space="preserve"> and </w:t>
      </w:r>
      <w:r w:rsidR="00063E1F" w:rsidRPr="002B2651">
        <w:rPr>
          <w:b/>
          <w:color w:val="231F20"/>
          <w:sz w:val="20"/>
          <w:szCs w:val="20"/>
        </w:rPr>
        <w:t>T</w:t>
      </w:r>
      <w:r w:rsidR="001B0C42" w:rsidRPr="002B2651">
        <w:rPr>
          <w:b/>
          <w:color w:val="231F20"/>
          <w:sz w:val="20"/>
          <w:szCs w:val="20"/>
        </w:rPr>
        <w:t>eaching-</w:t>
      </w:r>
      <w:r w:rsidR="00602C95" w:rsidRPr="002B2651">
        <w:rPr>
          <w:b/>
          <w:color w:val="231F20"/>
          <w:sz w:val="20"/>
          <w:szCs w:val="20"/>
        </w:rPr>
        <w:t xml:space="preserve">Led </w:t>
      </w:r>
      <w:r w:rsidR="00063E1F" w:rsidRPr="002B2651">
        <w:rPr>
          <w:b/>
          <w:color w:val="231F20"/>
          <w:sz w:val="20"/>
          <w:szCs w:val="20"/>
        </w:rPr>
        <w:t>Research</w:t>
      </w:r>
    </w:p>
    <w:p w14:paraId="6232E2E2" w14:textId="12336481" w:rsidR="00916784" w:rsidRDefault="00C26288" w:rsidP="00916784">
      <w:pPr>
        <w:autoSpaceDE w:val="0"/>
        <w:autoSpaceDN w:val="0"/>
        <w:adjustRightInd w:val="0"/>
        <w:spacing w:line="480" w:lineRule="auto"/>
        <w:rPr>
          <w:color w:val="231F20"/>
          <w:sz w:val="20"/>
          <w:szCs w:val="20"/>
        </w:rPr>
      </w:pPr>
      <w:r w:rsidRPr="00C26288">
        <w:rPr>
          <w:color w:val="231F20"/>
          <w:sz w:val="20"/>
          <w:szCs w:val="20"/>
        </w:rPr>
        <w:t>This point can be clarified by briefly turning to more critical accounts of the ‘new capitalism’ that are contemporaneous with the emergence of human capital theory.</w:t>
      </w:r>
      <w:r>
        <w:rPr>
          <w:color w:val="231F20"/>
          <w:sz w:val="20"/>
          <w:szCs w:val="20"/>
        </w:rPr>
        <w:t xml:space="preserve"> </w:t>
      </w:r>
      <w:proofErr w:type="gramStart"/>
      <w:r w:rsidRPr="00A3080D">
        <w:rPr>
          <w:color w:val="231F20"/>
          <w:sz w:val="20"/>
          <w:szCs w:val="20"/>
        </w:rPr>
        <w:t xml:space="preserve">In his writings from this period, for example, the critical theorist Jürgen </w:t>
      </w:r>
      <w:proofErr w:type="spellStart"/>
      <w:r w:rsidRPr="00A3080D">
        <w:rPr>
          <w:color w:val="231F20"/>
          <w:sz w:val="20"/>
          <w:szCs w:val="20"/>
        </w:rPr>
        <w:t>Habermas</w:t>
      </w:r>
      <w:proofErr w:type="spellEnd"/>
      <w:r w:rsidRPr="00A3080D">
        <w:rPr>
          <w:color w:val="231F20"/>
          <w:sz w:val="20"/>
          <w:szCs w:val="20"/>
        </w:rPr>
        <w:t xml:space="preserve"> (1973, 195-197; 1976, 55-57) contextualizes the increasing involvement of the state in organizing and administering the production of ‘collective commodities’ in terms of a response to the increasing complexity of the spheres of commodity exchange and social production, the need for increasing self-regulation of social domains to ensure systematic stability in response to the threat of Soviet socialism (“Americanization”), and of capitalism’s approaching the natural limits to the generation of absolute surplus value through ‘physical force, lengthening the working day, recruiting underpaid labour forces (women, children), etc.’ </w:t>
      </w:r>
      <w:r w:rsidR="00916784" w:rsidRPr="00A3080D">
        <w:rPr>
          <w:color w:val="231F20"/>
          <w:sz w:val="20"/>
          <w:szCs w:val="20"/>
        </w:rPr>
        <w:t>As an increasing proportion of capital is invested in fixed infrastructural costs such as technology, the attendant fall of that invested in human labour leads to what Marx called the tendency of the rate of profit to fall, in line with principle that human labour is productive of the value of commodities.</w:t>
      </w:r>
      <w:proofErr w:type="gramEnd"/>
      <w:r w:rsidR="00916784">
        <w:rPr>
          <w:color w:val="231F20"/>
          <w:sz w:val="20"/>
          <w:szCs w:val="20"/>
        </w:rPr>
        <w:t xml:space="preserve"> </w:t>
      </w:r>
      <w:r w:rsidR="00916784" w:rsidRPr="00A3080D">
        <w:rPr>
          <w:color w:val="231F20"/>
          <w:sz w:val="20"/>
          <w:szCs w:val="20"/>
        </w:rPr>
        <w:t>Late capitalism responds to this economic situation</w:t>
      </w:r>
      <w:r w:rsidR="00916784">
        <w:rPr>
          <w:color w:val="231F20"/>
          <w:sz w:val="20"/>
          <w:szCs w:val="20"/>
        </w:rPr>
        <w:t>,</w:t>
      </w:r>
      <w:r w:rsidR="00916784" w:rsidRPr="00916784">
        <w:rPr>
          <w:color w:val="231F20"/>
          <w:sz w:val="20"/>
          <w:szCs w:val="20"/>
        </w:rPr>
        <w:t xml:space="preserve"> </w:t>
      </w:r>
      <w:r w:rsidR="00916784" w:rsidRPr="00A3080D">
        <w:rPr>
          <w:color w:val="231F20"/>
          <w:sz w:val="20"/>
          <w:szCs w:val="20"/>
        </w:rPr>
        <w:t xml:space="preserve">Claus </w:t>
      </w:r>
      <w:proofErr w:type="spellStart"/>
      <w:r w:rsidR="00916784" w:rsidRPr="00A3080D">
        <w:rPr>
          <w:color w:val="231F20"/>
          <w:sz w:val="20"/>
          <w:szCs w:val="20"/>
        </w:rPr>
        <w:t>Offe</w:t>
      </w:r>
      <w:proofErr w:type="spellEnd"/>
      <w:r w:rsidR="00916784" w:rsidRPr="00A3080D">
        <w:rPr>
          <w:color w:val="231F20"/>
          <w:sz w:val="20"/>
          <w:szCs w:val="20"/>
        </w:rPr>
        <w:t xml:space="preserve"> (1973) writes, </w:t>
      </w:r>
      <w:r w:rsidR="00916784">
        <w:rPr>
          <w:color w:val="231F20"/>
          <w:sz w:val="20"/>
          <w:szCs w:val="20"/>
        </w:rPr>
        <w:t xml:space="preserve">by attempting to increase the </w:t>
      </w:r>
      <w:r w:rsidR="00916784" w:rsidRPr="00A3080D">
        <w:rPr>
          <w:color w:val="231F20"/>
          <w:sz w:val="20"/>
          <w:szCs w:val="20"/>
        </w:rPr>
        <w:lastRenderedPageBreak/>
        <w:t>productivity</w:t>
      </w:r>
      <w:r w:rsidR="00916784">
        <w:rPr>
          <w:color w:val="231F20"/>
          <w:sz w:val="20"/>
          <w:szCs w:val="20"/>
        </w:rPr>
        <w:t xml:space="preserve"> of labour</w:t>
      </w:r>
      <w:r w:rsidR="00916784" w:rsidRPr="00A3080D">
        <w:rPr>
          <w:color w:val="231F20"/>
          <w:sz w:val="20"/>
          <w:szCs w:val="20"/>
        </w:rPr>
        <w:t xml:space="preserve"> </w:t>
      </w:r>
      <w:proofErr w:type="gramStart"/>
      <w:r w:rsidR="00916784" w:rsidRPr="00A3080D">
        <w:rPr>
          <w:color w:val="231F20"/>
          <w:sz w:val="20"/>
          <w:szCs w:val="20"/>
        </w:rPr>
        <w:t>through the use of</w:t>
      </w:r>
      <w:proofErr w:type="gramEnd"/>
      <w:r w:rsidR="00916784" w:rsidRPr="00A3080D">
        <w:rPr>
          <w:color w:val="231F20"/>
          <w:sz w:val="20"/>
          <w:szCs w:val="20"/>
        </w:rPr>
        <w:t xml:space="preserve"> bureaucratic workers and civil </w:t>
      </w:r>
      <w:r w:rsidR="00916784">
        <w:rPr>
          <w:color w:val="231F20"/>
          <w:sz w:val="20"/>
          <w:szCs w:val="20"/>
        </w:rPr>
        <w:t xml:space="preserve">servants of the welfare state. </w:t>
      </w:r>
      <w:r w:rsidRPr="00A3080D">
        <w:rPr>
          <w:color w:val="231F20"/>
          <w:sz w:val="20"/>
          <w:szCs w:val="20"/>
        </w:rPr>
        <w:t xml:space="preserve">The increasing necessity for centralized organization, administration and political mediation to stabilize commodity exchange has seen the reciprocal interlocking of civil society and state within a state-regulated capitalism, </w:t>
      </w:r>
      <w:proofErr w:type="spellStart"/>
      <w:r w:rsidRPr="00A3080D">
        <w:rPr>
          <w:color w:val="231F20"/>
          <w:sz w:val="20"/>
          <w:szCs w:val="20"/>
        </w:rPr>
        <w:t>Habermas</w:t>
      </w:r>
      <w:proofErr w:type="spellEnd"/>
      <w:r w:rsidRPr="00A3080D">
        <w:rPr>
          <w:color w:val="231F20"/>
          <w:sz w:val="20"/>
          <w:szCs w:val="20"/>
        </w:rPr>
        <w:t xml:space="preserve"> (1960, 195;</w:t>
      </w:r>
      <w:r>
        <w:rPr>
          <w:color w:val="231F20"/>
          <w:sz w:val="20"/>
          <w:szCs w:val="20"/>
        </w:rPr>
        <w:t xml:space="preserve"> xxxx 237; 1973, 55-57) argues. </w:t>
      </w:r>
      <w:r w:rsidR="00916784">
        <w:rPr>
          <w:color w:val="231F20"/>
          <w:sz w:val="20"/>
          <w:szCs w:val="20"/>
        </w:rPr>
        <w:t>This</w:t>
      </w:r>
      <w:r w:rsidR="00916784" w:rsidRPr="00A3080D">
        <w:rPr>
          <w:color w:val="231F20"/>
          <w:sz w:val="20"/>
          <w:szCs w:val="20"/>
        </w:rPr>
        <w:t xml:space="preserve"> gives rise to a public sector responsible for the state-subsidized production of ‘collective commodities’ of the material and immaterial infrastructure upon which the private sector belongs. This enables, for example, an increase in relative surplus value by heightening the productivity of labour for capital through the development of the technical forces of production (most obviously, for example, public systems of transport and communication).</w:t>
      </w:r>
      <w:r w:rsidR="00916784">
        <w:rPr>
          <w:color w:val="231F20"/>
          <w:sz w:val="20"/>
          <w:szCs w:val="20"/>
        </w:rPr>
        <w:t xml:space="preserve"> </w:t>
      </w:r>
    </w:p>
    <w:p w14:paraId="58A364F4" w14:textId="08B16436" w:rsidR="00916784" w:rsidRDefault="00916784" w:rsidP="00916784">
      <w:pPr>
        <w:autoSpaceDE w:val="0"/>
        <w:autoSpaceDN w:val="0"/>
        <w:adjustRightInd w:val="0"/>
        <w:spacing w:line="480" w:lineRule="auto"/>
        <w:rPr>
          <w:color w:val="231F20"/>
          <w:sz w:val="20"/>
          <w:szCs w:val="20"/>
        </w:rPr>
      </w:pPr>
    </w:p>
    <w:p w14:paraId="2359992F" w14:textId="4D34E142" w:rsidR="00916784" w:rsidRPr="00A3080D" w:rsidRDefault="00916784" w:rsidP="00916784">
      <w:pPr>
        <w:autoSpaceDE w:val="0"/>
        <w:autoSpaceDN w:val="0"/>
        <w:adjustRightInd w:val="0"/>
        <w:spacing w:line="480" w:lineRule="auto"/>
        <w:rPr>
          <w:color w:val="231F20"/>
          <w:sz w:val="20"/>
          <w:szCs w:val="20"/>
        </w:rPr>
      </w:pPr>
      <w:r w:rsidRPr="00A3080D">
        <w:rPr>
          <w:color w:val="231F20"/>
          <w:sz w:val="20"/>
          <w:szCs w:val="20"/>
        </w:rPr>
        <w:t xml:space="preserve">As </w:t>
      </w:r>
      <w:proofErr w:type="spellStart"/>
      <w:r w:rsidRPr="00A3080D">
        <w:rPr>
          <w:color w:val="231F20"/>
          <w:sz w:val="20"/>
          <w:szCs w:val="20"/>
        </w:rPr>
        <w:t>Offe</w:t>
      </w:r>
      <w:proofErr w:type="spellEnd"/>
      <w:r w:rsidRPr="00A3080D">
        <w:rPr>
          <w:color w:val="231F20"/>
          <w:sz w:val="20"/>
          <w:szCs w:val="20"/>
        </w:rPr>
        <w:t xml:space="preserve"> (1984: 99; 1970: 111; 1972: 324-</w:t>
      </w:r>
      <w:proofErr w:type="gramStart"/>
      <w:r w:rsidRPr="00A3080D">
        <w:rPr>
          <w:color w:val="231F20"/>
          <w:sz w:val="20"/>
          <w:szCs w:val="20"/>
        </w:rPr>
        <w:t>5</w:t>
      </w:r>
      <w:proofErr w:type="gramEnd"/>
      <w:r w:rsidRPr="00A3080D">
        <w:rPr>
          <w:color w:val="231F20"/>
          <w:sz w:val="20"/>
          <w:szCs w:val="20"/>
        </w:rPr>
        <w:t xml:space="preserve">; 1973: 109-110) explains, state power is increasingly required to ‘politically regulate who is and who is not a wage-labourer’ on the labour market and to transform dispossessed labour power into the commodity form inherent to “active” wage-labour through education. Friedrich Pollock (1965: 4-6; 70-1; 204-6) believed automation lead to the necessity of increasing the average level of intelligence of future workers by radically improving and changing educational facilities from childhood onward. </w:t>
      </w:r>
      <w:proofErr w:type="gramStart"/>
      <w:r w:rsidRPr="00A3080D">
        <w:rPr>
          <w:color w:val="231F20"/>
          <w:sz w:val="20"/>
          <w:szCs w:val="20"/>
        </w:rPr>
        <w:t>Such education would need to focus in particular on providing a good knowledge of mathematics and science, as well as more specialized training to overcome a shortage of engineers and technicians, but it would also be necessary, given the great sense of responsibility required to operate within and identify with automated workplaces, to teach people how “to get more out of life and to be better citizens”’ (Pollock, 1965: 205-6).</w:t>
      </w:r>
      <w:proofErr w:type="gramEnd"/>
      <w:r>
        <w:rPr>
          <w:color w:val="231F20"/>
          <w:sz w:val="20"/>
          <w:szCs w:val="20"/>
        </w:rPr>
        <w:t xml:space="preserve"> </w:t>
      </w:r>
      <w:r w:rsidRPr="00A3080D">
        <w:rPr>
          <w:color w:val="231F20"/>
          <w:sz w:val="20"/>
          <w:szCs w:val="20"/>
        </w:rPr>
        <w:t>In particular, ‘the teacher expands a kind of labour power which, without itself being a commodity, may have the purpose of educating labour which is a commodity’ (</w:t>
      </w:r>
      <w:proofErr w:type="spellStart"/>
      <w:r w:rsidRPr="00A3080D">
        <w:rPr>
          <w:color w:val="231F20"/>
          <w:sz w:val="20"/>
          <w:szCs w:val="20"/>
        </w:rPr>
        <w:t>Offe</w:t>
      </w:r>
      <w:proofErr w:type="spellEnd"/>
      <w:r w:rsidRPr="00A3080D">
        <w:rPr>
          <w:color w:val="231F20"/>
          <w:sz w:val="20"/>
          <w:szCs w:val="20"/>
        </w:rPr>
        <w:t xml:space="preserve">, 1973). This is also made </w:t>
      </w:r>
      <w:proofErr w:type="gramStart"/>
      <w:r w:rsidRPr="00A3080D">
        <w:rPr>
          <w:color w:val="231F20"/>
          <w:sz w:val="20"/>
          <w:szCs w:val="20"/>
        </w:rPr>
        <w:t>possible,</w:t>
      </w:r>
      <w:proofErr w:type="gramEnd"/>
      <w:r w:rsidRPr="00A3080D">
        <w:rPr>
          <w:color w:val="231F20"/>
          <w:sz w:val="20"/>
          <w:szCs w:val="20"/>
        </w:rPr>
        <w:t xml:space="preserve"> </w:t>
      </w:r>
      <w:proofErr w:type="spellStart"/>
      <w:r w:rsidRPr="00A3080D">
        <w:rPr>
          <w:color w:val="231F20"/>
          <w:sz w:val="20"/>
          <w:szCs w:val="20"/>
        </w:rPr>
        <w:t>Habermas</w:t>
      </w:r>
      <w:proofErr w:type="spellEnd"/>
      <w:r w:rsidRPr="00A3080D">
        <w:rPr>
          <w:color w:val="231F20"/>
          <w:sz w:val="20"/>
          <w:szCs w:val="20"/>
        </w:rPr>
        <w:t xml:space="preserve"> argues, through the ‘governmental organization of the educational system, which raises the productivity of human labour through qualification,’ an example of state investment in ‘reflexive labour,’ ‘labour applied to itself with the aim of increasing the productivity of labour.’ This </w:t>
      </w:r>
      <w:proofErr w:type="gramStart"/>
      <w:r w:rsidRPr="00A3080D">
        <w:rPr>
          <w:color w:val="231F20"/>
          <w:sz w:val="20"/>
          <w:szCs w:val="20"/>
        </w:rPr>
        <w:t>labour which</w:t>
      </w:r>
      <w:proofErr w:type="gramEnd"/>
      <w:r w:rsidRPr="00A3080D">
        <w:rPr>
          <w:color w:val="231F20"/>
          <w:sz w:val="20"/>
          <w:szCs w:val="20"/>
        </w:rPr>
        <w:t xml:space="preserve"> is ‘not productive in the sense of the direct production of surplus value’ but indirectly productive of surplus value to the extent it ‘systematically alters conditions under which the surplus value can be appropriated from productive labour.’ </w:t>
      </w:r>
      <w:proofErr w:type="gramStart"/>
      <w:r w:rsidRPr="00A3080D">
        <w:rPr>
          <w:color w:val="231F20"/>
          <w:sz w:val="20"/>
          <w:szCs w:val="20"/>
        </w:rPr>
        <w:t>With this ‘systematically managed expansion of the system of continuing education,’ for example, academic labour shifts from being ‘a collective natural commodity’ to being ‘internalized in the economy cycle’ as ‘a component of the production process itself, for ‘the state (or private enterprise) now expands capital to purchase the indirectly productive labour power of scientists, engineers, teachers, etc. and to transform the products of their labour into cost-cutting commodities’.</w:t>
      </w:r>
      <w:proofErr w:type="gramEnd"/>
    </w:p>
    <w:p w14:paraId="185E114F" w14:textId="77777777" w:rsidR="00916784" w:rsidRDefault="00916784" w:rsidP="00916784">
      <w:pPr>
        <w:autoSpaceDE w:val="0"/>
        <w:autoSpaceDN w:val="0"/>
        <w:adjustRightInd w:val="0"/>
        <w:spacing w:line="480" w:lineRule="auto"/>
        <w:rPr>
          <w:color w:val="231F20"/>
          <w:sz w:val="20"/>
          <w:szCs w:val="20"/>
        </w:rPr>
      </w:pPr>
    </w:p>
    <w:p w14:paraId="14D97A4F" w14:textId="752D76E6" w:rsidR="00916784" w:rsidRPr="00A3080D" w:rsidRDefault="00916784" w:rsidP="00916784">
      <w:pPr>
        <w:autoSpaceDE w:val="0"/>
        <w:autoSpaceDN w:val="0"/>
        <w:adjustRightInd w:val="0"/>
        <w:spacing w:line="480" w:lineRule="auto"/>
        <w:rPr>
          <w:color w:val="231F20"/>
          <w:sz w:val="20"/>
          <w:szCs w:val="20"/>
        </w:rPr>
      </w:pPr>
      <w:r w:rsidRPr="00A3080D">
        <w:rPr>
          <w:color w:val="231F20"/>
          <w:sz w:val="20"/>
          <w:szCs w:val="20"/>
        </w:rPr>
        <w:t xml:space="preserve">By focusing on the </w:t>
      </w:r>
      <w:r w:rsidRPr="00A3080D">
        <w:rPr>
          <w:i/>
          <w:color w:val="231F20"/>
          <w:sz w:val="20"/>
          <w:szCs w:val="20"/>
        </w:rPr>
        <w:t xml:space="preserve">capital </w:t>
      </w:r>
      <w:r w:rsidRPr="00A3080D">
        <w:rPr>
          <w:color w:val="231F20"/>
          <w:sz w:val="20"/>
          <w:szCs w:val="20"/>
        </w:rPr>
        <w:t xml:space="preserve">component in labour – such that ‘every worker …is now a capitalist’ (Bowles and </w:t>
      </w:r>
      <w:proofErr w:type="spellStart"/>
      <w:r w:rsidRPr="00A3080D">
        <w:rPr>
          <w:color w:val="231F20"/>
          <w:sz w:val="20"/>
          <w:szCs w:val="20"/>
        </w:rPr>
        <w:t>Gintis</w:t>
      </w:r>
      <w:proofErr w:type="spellEnd"/>
      <w:r w:rsidRPr="00A3080D">
        <w:rPr>
          <w:color w:val="231F20"/>
          <w:sz w:val="20"/>
          <w:szCs w:val="20"/>
        </w:rPr>
        <w:t xml:space="preserve"> 1975, 74) – human capital theory obscures both the specific </w:t>
      </w:r>
      <w:r w:rsidRPr="00A3080D">
        <w:rPr>
          <w:i/>
          <w:color w:val="231F20"/>
          <w:sz w:val="20"/>
          <w:szCs w:val="20"/>
        </w:rPr>
        <w:t xml:space="preserve">labour </w:t>
      </w:r>
      <w:r w:rsidRPr="00A3080D">
        <w:rPr>
          <w:color w:val="231F20"/>
          <w:sz w:val="20"/>
          <w:szCs w:val="20"/>
        </w:rPr>
        <w:t xml:space="preserve">component of labour (i.e. labour power) and its primary status as a </w:t>
      </w:r>
      <w:r w:rsidRPr="00A3080D">
        <w:rPr>
          <w:i/>
          <w:color w:val="231F20"/>
          <w:sz w:val="20"/>
          <w:szCs w:val="20"/>
        </w:rPr>
        <w:t>commodity</w:t>
      </w:r>
      <w:r w:rsidRPr="00A3080D">
        <w:rPr>
          <w:color w:val="231F20"/>
          <w:sz w:val="20"/>
          <w:szCs w:val="20"/>
        </w:rPr>
        <w:t xml:space="preserve"> within the capitalist system (cf. Bowles and </w:t>
      </w:r>
      <w:proofErr w:type="spellStart"/>
      <w:r w:rsidRPr="00A3080D">
        <w:rPr>
          <w:color w:val="231F20"/>
          <w:sz w:val="20"/>
          <w:szCs w:val="20"/>
        </w:rPr>
        <w:t>Gintis</w:t>
      </w:r>
      <w:proofErr w:type="spellEnd"/>
      <w:r w:rsidRPr="00A3080D">
        <w:rPr>
          <w:color w:val="231F20"/>
          <w:sz w:val="20"/>
          <w:szCs w:val="20"/>
        </w:rPr>
        <w:t xml:space="preserve"> 1975; Harvey 2014).</w:t>
      </w:r>
      <w:r>
        <w:rPr>
          <w:color w:val="231F20"/>
          <w:sz w:val="20"/>
          <w:szCs w:val="20"/>
        </w:rPr>
        <w:t xml:space="preserve"> </w:t>
      </w:r>
      <w:r w:rsidRPr="00A3080D">
        <w:rPr>
          <w:color w:val="231F20"/>
          <w:sz w:val="20"/>
          <w:szCs w:val="20"/>
        </w:rPr>
        <w:t xml:space="preserve">In providing a ‘political economy of labour power,’ Kluge and </w:t>
      </w:r>
      <w:proofErr w:type="spellStart"/>
      <w:r w:rsidRPr="00A3080D">
        <w:rPr>
          <w:color w:val="231F20"/>
          <w:sz w:val="20"/>
          <w:szCs w:val="20"/>
        </w:rPr>
        <w:t>Negt</w:t>
      </w:r>
      <w:proofErr w:type="spellEnd"/>
      <w:r w:rsidRPr="00A3080D">
        <w:rPr>
          <w:color w:val="231F20"/>
          <w:sz w:val="20"/>
          <w:szCs w:val="20"/>
        </w:rPr>
        <w:t xml:space="preserve"> (1981: 108, 135-6; 2014: n15, 7, 35) focus on labour capacities as ‘autonomously protected reserves of labour power’ within the libidinal economy of living bodies; reserves which, unknown to consciousness, contain new forms of self-regulation and direction that constitute ‘</w:t>
      </w:r>
      <w:proofErr w:type="spellStart"/>
      <w:r w:rsidRPr="00A3080D">
        <w:rPr>
          <w:color w:val="231F20"/>
          <w:sz w:val="20"/>
          <w:szCs w:val="20"/>
        </w:rPr>
        <w:t>countercapital</w:t>
      </w:r>
      <w:proofErr w:type="spellEnd"/>
      <w:r w:rsidRPr="00A3080D">
        <w:rPr>
          <w:color w:val="231F20"/>
          <w:sz w:val="20"/>
          <w:szCs w:val="20"/>
        </w:rPr>
        <w:t>’. These societal competencies provide an alternative to vocational skills that education for productivity insists upon, permitting learners to understand existing relations within social life and initiate necessary reframing processes to rethink them (</w:t>
      </w:r>
      <w:proofErr w:type="spellStart"/>
      <w:r w:rsidRPr="00A3080D">
        <w:rPr>
          <w:color w:val="231F20"/>
          <w:sz w:val="20"/>
          <w:szCs w:val="20"/>
        </w:rPr>
        <w:t>Negt</w:t>
      </w:r>
      <w:proofErr w:type="spellEnd"/>
      <w:r w:rsidRPr="00A3080D">
        <w:rPr>
          <w:color w:val="231F20"/>
          <w:sz w:val="20"/>
          <w:szCs w:val="20"/>
        </w:rPr>
        <w:t xml:space="preserve"> 1993: 662; 1986: 35).</w:t>
      </w:r>
      <w:r>
        <w:rPr>
          <w:color w:val="231F20"/>
          <w:sz w:val="20"/>
          <w:szCs w:val="20"/>
        </w:rPr>
        <w:t xml:space="preserve"> </w:t>
      </w:r>
      <w:r w:rsidRPr="00A3080D">
        <w:rPr>
          <w:color w:val="231F20"/>
          <w:sz w:val="20"/>
          <w:szCs w:val="20"/>
        </w:rPr>
        <w:t xml:space="preserve">Seeking to determine the contradiction between capital and labour anew from the side of living labour rather than, as Marx had done, capital, Kluge and </w:t>
      </w:r>
      <w:proofErr w:type="spellStart"/>
      <w:r w:rsidRPr="00A3080D">
        <w:rPr>
          <w:color w:val="231F20"/>
          <w:sz w:val="20"/>
          <w:szCs w:val="20"/>
        </w:rPr>
        <w:t>Negt’s</w:t>
      </w:r>
      <w:proofErr w:type="spellEnd"/>
      <w:r w:rsidRPr="00A3080D">
        <w:rPr>
          <w:color w:val="231F20"/>
          <w:sz w:val="20"/>
          <w:szCs w:val="20"/>
        </w:rPr>
        <w:t xml:space="preserve"> work therefore provides a powerful inversion of theories of human capital that have sought to transform education in the pursuit of economic productivity. </w:t>
      </w:r>
    </w:p>
    <w:p w14:paraId="7635DAAC" w14:textId="77777777" w:rsidR="00916784" w:rsidRPr="00A3080D" w:rsidRDefault="00916784" w:rsidP="00916784">
      <w:pPr>
        <w:autoSpaceDE w:val="0"/>
        <w:autoSpaceDN w:val="0"/>
        <w:adjustRightInd w:val="0"/>
        <w:spacing w:line="480" w:lineRule="auto"/>
        <w:rPr>
          <w:color w:val="231F20"/>
          <w:sz w:val="20"/>
          <w:szCs w:val="20"/>
        </w:rPr>
      </w:pPr>
    </w:p>
    <w:p w14:paraId="4E40F843" w14:textId="5B7D514C" w:rsidR="00A3080D" w:rsidRDefault="00C26288" w:rsidP="001B0C42">
      <w:pPr>
        <w:autoSpaceDE w:val="0"/>
        <w:autoSpaceDN w:val="0"/>
        <w:adjustRightInd w:val="0"/>
        <w:spacing w:line="480" w:lineRule="auto"/>
        <w:rPr>
          <w:color w:val="231F20"/>
          <w:sz w:val="20"/>
          <w:szCs w:val="20"/>
        </w:rPr>
      </w:pPr>
      <w:proofErr w:type="gramStart"/>
      <w:r w:rsidRPr="00A3080D">
        <w:rPr>
          <w:color w:val="231F20"/>
          <w:sz w:val="20"/>
          <w:szCs w:val="20"/>
        </w:rPr>
        <w:t>Analyses of the learning society or the knowledge economy that proceed from a critique of political economy, help avoid the elision of class antagonism by focusing on labour power as a commodity: reminding us, for example, that wages on the labour market do not straightforwardly reward calculated investments of time and effort by the worker but are determined in other ways through the ownership of (non-human) capital by the capitalist, or through the social reproduction of inequalities through the exercise of political power exerted over the state and educational apparatus.</w:t>
      </w:r>
      <w:r w:rsidRPr="00A3080D">
        <w:rPr>
          <w:color w:val="231F20"/>
          <w:sz w:val="20"/>
          <w:szCs w:val="20"/>
          <w:vertAlign w:val="superscript"/>
        </w:rPr>
        <w:footnoteReference w:id="9"/>
      </w:r>
      <w:proofErr w:type="gramEnd"/>
      <w:r w:rsidRPr="00A3080D">
        <w:rPr>
          <w:color w:val="231F20"/>
          <w:sz w:val="20"/>
          <w:szCs w:val="20"/>
        </w:rPr>
        <w:t xml:space="preserve"> In addition, human capital theories of education also tend to overlook labour power in education via the central involvement of the teacher and the activity of teaching. </w:t>
      </w:r>
      <w:proofErr w:type="gramStart"/>
      <w:r w:rsidRPr="00A3080D">
        <w:rPr>
          <w:color w:val="231F20"/>
          <w:sz w:val="20"/>
          <w:szCs w:val="20"/>
        </w:rPr>
        <w:t>As a consequence</w:t>
      </w:r>
      <w:proofErr w:type="gramEnd"/>
      <w:r w:rsidRPr="00A3080D">
        <w:rPr>
          <w:color w:val="231F20"/>
          <w:sz w:val="20"/>
          <w:szCs w:val="20"/>
        </w:rPr>
        <w:t>, such theories inevitably tend to promote</w:t>
      </w:r>
      <w:r w:rsidR="00916784">
        <w:rPr>
          <w:color w:val="231F20"/>
          <w:sz w:val="20"/>
          <w:szCs w:val="20"/>
        </w:rPr>
        <w:t xml:space="preserve"> theories of</w:t>
      </w:r>
      <w:r w:rsidRPr="00A3080D">
        <w:rPr>
          <w:color w:val="231F20"/>
          <w:sz w:val="20"/>
          <w:szCs w:val="20"/>
        </w:rPr>
        <w:t xml:space="preserve"> </w:t>
      </w:r>
      <w:r w:rsidRPr="00A3080D">
        <w:rPr>
          <w:i/>
          <w:color w:val="231F20"/>
          <w:sz w:val="20"/>
          <w:szCs w:val="20"/>
        </w:rPr>
        <w:t xml:space="preserve">learning </w:t>
      </w:r>
      <w:r w:rsidRPr="00A3080D">
        <w:rPr>
          <w:color w:val="231F20"/>
          <w:sz w:val="20"/>
          <w:szCs w:val="20"/>
        </w:rPr>
        <w:t xml:space="preserve">rather than </w:t>
      </w:r>
      <w:r w:rsidRPr="00A3080D">
        <w:rPr>
          <w:i/>
          <w:color w:val="231F20"/>
          <w:sz w:val="20"/>
          <w:szCs w:val="20"/>
        </w:rPr>
        <w:t>teaching</w:t>
      </w:r>
      <w:r w:rsidR="00916784">
        <w:rPr>
          <w:color w:val="231F20"/>
          <w:sz w:val="20"/>
          <w:szCs w:val="20"/>
        </w:rPr>
        <w:t xml:space="preserve">. </w:t>
      </w:r>
    </w:p>
    <w:p w14:paraId="2774D48A" w14:textId="77777777" w:rsidR="00A85426" w:rsidRDefault="00A85426" w:rsidP="001B0C42">
      <w:pPr>
        <w:autoSpaceDE w:val="0"/>
        <w:autoSpaceDN w:val="0"/>
        <w:adjustRightInd w:val="0"/>
        <w:spacing w:line="480" w:lineRule="auto"/>
        <w:rPr>
          <w:color w:val="231F20"/>
          <w:sz w:val="20"/>
          <w:szCs w:val="20"/>
        </w:rPr>
      </w:pPr>
    </w:p>
    <w:p w14:paraId="00A83561" w14:textId="7F602B94" w:rsidR="00713134" w:rsidRPr="002B2651" w:rsidRDefault="00DE2718" w:rsidP="001B0C42">
      <w:pPr>
        <w:autoSpaceDE w:val="0"/>
        <w:autoSpaceDN w:val="0"/>
        <w:adjustRightInd w:val="0"/>
        <w:spacing w:line="480" w:lineRule="auto"/>
        <w:rPr>
          <w:color w:val="231F20"/>
          <w:sz w:val="20"/>
          <w:szCs w:val="20"/>
        </w:rPr>
      </w:pPr>
      <w:r>
        <w:rPr>
          <w:color w:val="231F20"/>
          <w:sz w:val="20"/>
          <w:szCs w:val="20"/>
        </w:rPr>
        <w:t xml:space="preserve">Rather than advocating some more authentic </w:t>
      </w:r>
      <w:r w:rsidR="006021C2" w:rsidRPr="002B2651">
        <w:rPr>
          <w:color w:val="231F20"/>
          <w:sz w:val="20"/>
          <w:szCs w:val="20"/>
        </w:rPr>
        <w:t>practice of research-informed teaching</w:t>
      </w:r>
      <w:r>
        <w:rPr>
          <w:color w:val="231F20"/>
          <w:sz w:val="20"/>
          <w:szCs w:val="20"/>
        </w:rPr>
        <w:t xml:space="preserve"> or separating teaching from research entirely</w:t>
      </w:r>
      <w:r w:rsidR="006021C2" w:rsidRPr="002B2651">
        <w:rPr>
          <w:color w:val="231F20"/>
          <w:sz w:val="20"/>
          <w:szCs w:val="20"/>
        </w:rPr>
        <w:t xml:space="preserve">, this final section will instead return to and reconsider Boyer’s concept of the scholarship of </w:t>
      </w:r>
      <w:r w:rsidR="006021C2" w:rsidRPr="002B2651">
        <w:rPr>
          <w:color w:val="231F20"/>
          <w:sz w:val="20"/>
          <w:szCs w:val="20"/>
        </w:rPr>
        <w:lastRenderedPageBreak/>
        <w:t xml:space="preserve">teaching in order to oppose the assumption, underpinned by notions of productivity, that teaching excellence necessarily flows from excellence in research. </w:t>
      </w:r>
      <w:bookmarkStart w:id="0" w:name="_GoBack"/>
      <w:bookmarkEnd w:id="0"/>
    </w:p>
    <w:p w14:paraId="1AFA3A53" w14:textId="77777777" w:rsidR="006021C2" w:rsidRPr="002B2651" w:rsidRDefault="006021C2" w:rsidP="001B0C42">
      <w:pPr>
        <w:autoSpaceDE w:val="0"/>
        <w:autoSpaceDN w:val="0"/>
        <w:adjustRightInd w:val="0"/>
        <w:spacing w:line="480" w:lineRule="auto"/>
        <w:rPr>
          <w:sz w:val="20"/>
          <w:szCs w:val="20"/>
        </w:rPr>
      </w:pPr>
    </w:p>
    <w:p w14:paraId="45513772" w14:textId="1F6FB187" w:rsidR="001B0C42" w:rsidRPr="002B2651" w:rsidRDefault="001B0C42" w:rsidP="001B0C42">
      <w:pPr>
        <w:autoSpaceDE w:val="0"/>
        <w:autoSpaceDN w:val="0"/>
        <w:adjustRightInd w:val="0"/>
        <w:spacing w:line="480" w:lineRule="auto"/>
        <w:rPr>
          <w:color w:val="231F20"/>
          <w:sz w:val="20"/>
          <w:szCs w:val="20"/>
        </w:rPr>
      </w:pPr>
      <w:proofErr w:type="gramStart"/>
      <w:r w:rsidRPr="002B2651">
        <w:rPr>
          <w:sz w:val="20"/>
          <w:szCs w:val="20"/>
        </w:rPr>
        <w:t>As Heal</w:t>
      </w:r>
      <w:r w:rsidR="00537BD8" w:rsidRPr="002B2651">
        <w:rPr>
          <w:sz w:val="20"/>
          <w:szCs w:val="20"/>
        </w:rPr>
        <w:t>e</w:t>
      </w:r>
      <w:r w:rsidRPr="002B2651">
        <w:rPr>
          <w:sz w:val="20"/>
          <w:szCs w:val="20"/>
        </w:rPr>
        <w:t>y (</w:t>
      </w:r>
      <w:r w:rsidR="004874A2" w:rsidRPr="002B2651">
        <w:rPr>
          <w:sz w:val="20"/>
          <w:szCs w:val="20"/>
        </w:rPr>
        <w:t>2005, 189)</w:t>
      </w:r>
      <w:r w:rsidRPr="002B2651">
        <w:rPr>
          <w:sz w:val="20"/>
          <w:szCs w:val="20"/>
        </w:rPr>
        <w:t xml:space="preserve"> points out, Boyer did not clearly define the idea of scholarship of teaching, but in agreement with others (Martin et. al</w:t>
      </w:r>
      <w:r w:rsidR="0071316D" w:rsidRPr="002B2651">
        <w:rPr>
          <w:sz w:val="20"/>
          <w:szCs w:val="20"/>
        </w:rPr>
        <w:t xml:space="preserve">. 1999; </w:t>
      </w:r>
      <w:proofErr w:type="spellStart"/>
      <w:r w:rsidR="0071316D" w:rsidRPr="002B2651">
        <w:rPr>
          <w:sz w:val="20"/>
          <w:szCs w:val="20"/>
        </w:rPr>
        <w:t>Kreber</w:t>
      </w:r>
      <w:proofErr w:type="spellEnd"/>
      <w:r w:rsidR="0071316D" w:rsidRPr="002B2651">
        <w:rPr>
          <w:sz w:val="20"/>
          <w:szCs w:val="20"/>
        </w:rPr>
        <w:t xml:space="preserve"> and </w:t>
      </w:r>
      <w:proofErr w:type="spellStart"/>
      <w:r w:rsidR="0071316D" w:rsidRPr="002B2651">
        <w:rPr>
          <w:sz w:val="20"/>
          <w:szCs w:val="20"/>
        </w:rPr>
        <w:t>Cranton</w:t>
      </w:r>
      <w:proofErr w:type="spellEnd"/>
      <w:r w:rsidR="0071316D" w:rsidRPr="002B2651">
        <w:rPr>
          <w:sz w:val="20"/>
          <w:szCs w:val="20"/>
        </w:rPr>
        <w:t xml:space="preserve"> 2000; Brew 2006) </w:t>
      </w:r>
      <w:r w:rsidRPr="002B2651">
        <w:rPr>
          <w:sz w:val="20"/>
          <w:szCs w:val="20"/>
        </w:rPr>
        <w:t>claims that it is commonly used to indicate engagement with scholarly contributions on teaching and learning, reflection on one’s own teaching and student learning, and communication and dissemination of theory and practice about teachi</w:t>
      </w:r>
      <w:r w:rsidR="0071316D" w:rsidRPr="002B2651">
        <w:rPr>
          <w:sz w:val="20"/>
          <w:szCs w:val="20"/>
        </w:rPr>
        <w:t>ng and learning.</w:t>
      </w:r>
      <w:proofErr w:type="gramEnd"/>
      <w:r w:rsidR="0071316D" w:rsidRPr="002B2651">
        <w:rPr>
          <w:sz w:val="20"/>
          <w:szCs w:val="20"/>
        </w:rPr>
        <w:t xml:space="preserve"> </w:t>
      </w:r>
      <w:proofErr w:type="gramStart"/>
      <w:r w:rsidR="0071316D" w:rsidRPr="002B2651">
        <w:rPr>
          <w:sz w:val="20"/>
          <w:szCs w:val="20"/>
        </w:rPr>
        <w:t>Boyer (1990</w:t>
      </w:r>
      <w:r w:rsidRPr="002B2651">
        <w:rPr>
          <w:sz w:val="20"/>
          <w:szCs w:val="20"/>
        </w:rPr>
        <w:t>) claimed this form of scholarship is particularly appropriate for professionals working in community colleges, referring to Vaughan’s claim that working in research mode during the evaluation and improving of teaching leads to the idea o</w:t>
      </w:r>
      <w:r w:rsidR="00602C95" w:rsidRPr="002B2651">
        <w:rPr>
          <w:sz w:val="20"/>
          <w:szCs w:val="20"/>
        </w:rPr>
        <w:t xml:space="preserve">f the “teaching researcher” </w:t>
      </w:r>
      <w:r w:rsidRPr="002B2651">
        <w:rPr>
          <w:sz w:val="20"/>
          <w:szCs w:val="20"/>
        </w:rPr>
        <w:t>(Boyer 1988, 27)</w:t>
      </w:r>
      <w:r w:rsidR="00602C95" w:rsidRPr="002B2651">
        <w:rPr>
          <w:sz w:val="20"/>
          <w:szCs w:val="20"/>
        </w:rPr>
        <w:t xml:space="preserve"> and</w:t>
      </w:r>
      <w:r w:rsidRPr="002B2651">
        <w:rPr>
          <w:sz w:val="20"/>
          <w:szCs w:val="20"/>
        </w:rPr>
        <w:t xml:space="preserve"> to Cross’s idea of the “classroom researcher” who is ‘involved in the evaluation of his or her own teaching and learning, even as it takes place’.</w:t>
      </w:r>
      <w:proofErr w:type="gramEnd"/>
      <w:r w:rsidRPr="002B2651">
        <w:rPr>
          <w:sz w:val="20"/>
          <w:szCs w:val="20"/>
        </w:rPr>
        <w:t xml:space="preserve"> Cross and Steadman (1996, 1-2) subsequently developed these ideas beyond the ‘scant attention’ given to the scholarship of teaching in Boyer’s work, characterizing the scholarship of the classroom researcher as ‘ongoing and cumulative intellectual enquiry by classroom teachers into the nature of teaching and learning in their own classrooms.’ As consequence, the scholarship of teaching and learning has largely come to indicate pedagogic research in a way that accepts dominant ideas about research, the researcher and the way in which research influences teaching. </w:t>
      </w:r>
    </w:p>
    <w:p w14:paraId="65043FEB" w14:textId="77777777" w:rsidR="00537BD8" w:rsidRPr="002B2651" w:rsidRDefault="00537BD8" w:rsidP="001B0C42">
      <w:pPr>
        <w:autoSpaceDE w:val="0"/>
        <w:autoSpaceDN w:val="0"/>
        <w:adjustRightInd w:val="0"/>
        <w:spacing w:line="480" w:lineRule="auto"/>
        <w:rPr>
          <w:color w:val="231F20"/>
          <w:sz w:val="20"/>
          <w:szCs w:val="20"/>
        </w:rPr>
      </w:pPr>
    </w:p>
    <w:p w14:paraId="530BC30F" w14:textId="10433596" w:rsidR="001B0C42" w:rsidRPr="002B2651" w:rsidRDefault="001B0C42" w:rsidP="001B0C42">
      <w:pPr>
        <w:autoSpaceDE w:val="0"/>
        <w:autoSpaceDN w:val="0"/>
        <w:adjustRightInd w:val="0"/>
        <w:spacing w:line="480" w:lineRule="auto"/>
        <w:rPr>
          <w:sz w:val="20"/>
          <w:szCs w:val="20"/>
        </w:rPr>
      </w:pPr>
      <w:r w:rsidRPr="002B2651">
        <w:rPr>
          <w:color w:val="231F20"/>
          <w:sz w:val="20"/>
          <w:szCs w:val="20"/>
        </w:rPr>
        <w:t>Boyer’s concept of the scholarship of teaching</w:t>
      </w:r>
      <w:r w:rsidR="007D72A7" w:rsidRPr="002B2651">
        <w:rPr>
          <w:color w:val="231F20"/>
          <w:sz w:val="20"/>
          <w:szCs w:val="20"/>
        </w:rPr>
        <w:t xml:space="preserve"> contains</w:t>
      </w:r>
      <w:r w:rsidRPr="002B2651">
        <w:rPr>
          <w:color w:val="231F20"/>
          <w:sz w:val="20"/>
          <w:szCs w:val="20"/>
        </w:rPr>
        <w:t xml:space="preserve">, </w:t>
      </w:r>
      <w:r w:rsidR="00F04CC9" w:rsidRPr="002B2651">
        <w:rPr>
          <w:color w:val="231F20"/>
          <w:sz w:val="20"/>
          <w:szCs w:val="20"/>
        </w:rPr>
        <w:t xml:space="preserve">however, </w:t>
      </w:r>
      <w:r w:rsidRPr="002B2651">
        <w:rPr>
          <w:color w:val="231F20"/>
          <w:sz w:val="20"/>
          <w:szCs w:val="20"/>
        </w:rPr>
        <w:t>a more radical rethinking of research and its relationship to teaching</w:t>
      </w:r>
      <w:r w:rsidR="00537BD8" w:rsidRPr="002B2651">
        <w:rPr>
          <w:color w:val="231F20"/>
          <w:sz w:val="20"/>
          <w:szCs w:val="20"/>
        </w:rPr>
        <w:t xml:space="preserve"> that has been largely undeveloped. </w:t>
      </w:r>
      <w:r w:rsidRPr="002B2651">
        <w:rPr>
          <w:color w:val="231F20"/>
          <w:sz w:val="20"/>
          <w:szCs w:val="20"/>
        </w:rPr>
        <w:t>For Boyer (1990, 23-4)</w:t>
      </w:r>
      <w:r w:rsidR="007D72A7" w:rsidRPr="002B2651">
        <w:rPr>
          <w:color w:val="231F20"/>
          <w:sz w:val="20"/>
          <w:szCs w:val="20"/>
        </w:rPr>
        <w:t>,</w:t>
      </w:r>
      <w:r w:rsidRPr="002B2651">
        <w:rPr>
          <w:color w:val="231F20"/>
          <w:sz w:val="20"/>
          <w:szCs w:val="20"/>
        </w:rPr>
        <w:t xml:space="preserve"> understanding the activity of teaching as a form of professional scholarship involves recognizing that teaching ‘both educates and entices future scholars,’ that it ‘means not only transmitting knowledge, but </w:t>
      </w:r>
      <w:r w:rsidRPr="002B2651">
        <w:rPr>
          <w:i/>
          <w:color w:val="231F20"/>
          <w:sz w:val="20"/>
          <w:szCs w:val="20"/>
        </w:rPr>
        <w:t xml:space="preserve">transforming </w:t>
      </w:r>
      <w:r w:rsidRPr="002B2651">
        <w:rPr>
          <w:color w:val="231F20"/>
          <w:sz w:val="20"/>
          <w:szCs w:val="20"/>
        </w:rPr>
        <w:t xml:space="preserve">and </w:t>
      </w:r>
      <w:r w:rsidRPr="002B2651">
        <w:rPr>
          <w:i/>
          <w:color w:val="231F20"/>
          <w:sz w:val="20"/>
          <w:szCs w:val="20"/>
        </w:rPr>
        <w:t xml:space="preserve">extending </w:t>
      </w:r>
      <w:r w:rsidRPr="002B2651">
        <w:rPr>
          <w:color w:val="231F20"/>
          <w:sz w:val="20"/>
          <w:szCs w:val="20"/>
        </w:rPr>
        <w:t>it’, and that ‘good teaching means that faculty, as scholars, are also learners …</w:t>
      </w:r>
      <w:r w:rsidRPr="002B2651">
        <w:rPr>
          <w:sz w:val="20"/>
          <w:szCs w:val="20"/>
        </w:rPr>
        <w:t xml:space="preserve">pushed in creative new directions.’ </w:t>
      </w:r>
      <w:r w:rsidR="007D72A7" w:rsidRPr="002B2651">
        <w:rPr>
          <w:sz w:val="20"/>
          <w:szCs w:val="20"/>
        </w:rPr>
        <w:t xml:space="preserve">It </w:t>
      </w:r>
      <w:proofErr w:type="gramStart"/>
      <w:r w:rsidR="007D72A7" w:rsidRPr="002B2651">
        <w:rPr>
          <w:sz w:val="20"/>
          <w:szCs w:val="20"/>
        </w:rPr>
        <w:t>should be noted</w:t>
      </w:r>
      <w:proofErr w:type="gramEnd"/>
      <w:r w:rsidR="006021C2" w:rsidRPr="002B2651">
        <w:rPr>
          <w:sz w:val="20"/>
          <w:szCs w:val="20"/>
        </w:rPr>
        <w:t>, first,</w:t>
      </w:r>
      <w:r w:rsidR="007D72A7" w:rsidRPr="002B2651">
        <w:rPr>
          <w:sz w:val="20"/>
          <w:szCs w:val="20"/>
        </w:rPr>
        <w:t xml:space="preserve"> that this retains the nexus between teaching and research. </w:t>
      </w:r>
      <w:proofErr w:type="gramStart"/>
      <w:r w:rsidR="007D72A7" w:rsidRPr="002B2651">
        <w:rPr>
          <w:sz w:val="20"/>
          <w:szCs w:val="20"/>
        </w:rPr>
        <w:t>E</w:t>
      </w:r>
      <w:r w:rsidRPr="002B2651">
        <w:rPr>
          <w:sz w:val="20"/>
          <w:szCs w:val="20"/>
        </w:rPr>
        <w:t>ven in liberal art colleges where teaching is the</w:t>
      </w:r>
      <w:r w:rsidR="006021C2" w:rsidRPr="002B2651">
        <w:rPr>
          <w:sz w:val="20"/>
          <w:szCs w:val="20"/>
        </w:rPr>
        <w:t xml:space="preserve"> focus, Boyer argues</w:t>
      </w:r>
      <w:r w:rsidR="0071316D" w:rsidRPr="002B2651">
        <w:rPr>
          <w:sz w:val="20"/>
          <w:szCs w:val="20"/>
        </w:rPr>
        <w:t xml:space="preserve"> (1990, 59-60)</w:t>
      </w:r>
      <w:r w:rsidR="007D72A7" w:rsidRPr="002B2651">
        <w:rPr>
          <w:sz w:val="20"/>
          <w:szCs w:val="20"/>
        </w:rPr>
        <w:t>,</w:t>
      </w:r>
      <w:r w:rsidRPr="002B2651">
        <w:rPr>
          <w:sz w:val="20"/>
          <w:szCs w:val="20"/>
        </w:rPr>
        <w:t xml:space="preserve"> time and funding should be available for faculty members to focus on research projects</w:t>
      </w:r>
      <w:r w:rsidR="007D72A7" w:rsidRPr="002B2651">
        <w:rPr>
          <w:sz w:val="20"/>
          <w:szCs w:val="20"/>
        </w:rPr>
        <w:t xml:space="preserve">; </w:t>
      </w:r>
      <w:r w:rsidRPr="002B2651">
        <w:rPr>
          <w:sz w:val="20"/>
          <w:szCs w:val="20"/>
        </w:rPr>
        <w:t>unlike proposals contained in the Dearing Report and the 2011 White Paper, this recommendation doesn’t seek to dissuade teacher-intensive institutes from research activity nor explicitly seek to restrict this scholarship to pedagogic research.</w:t>
      </w:r>
      <w:proofErr w:type="gramEnd"/>
      <w:r w:rsidRPr="002B2651">
        <w:rPr>
          <w:sz w:val="20"/>
          <w:szCs w:val="20"/>
        </w:rPr>
        <w:t xml:space="preserve"> </w:t>
      </w:r>
    </w:p>
    <w:p w14:paraId="7C85DBB7" w14:textId="77777777" w:rsidR="007D72A7" w:rsidRPr="002B2651" w:rsidRDefault="007D72A7" w:rsidP="001B0C42">
      <w:pPr>
        <w:autoSpaceDE w:val="0"/>
        <w:autoSpaceDN w:val="0"/>
        <w:adjustRightInd w:val="0"/>
        <w:spacing w:line="480" w:lineRule="auto"/>
        <w:rPr>
          <w:sz w:val="20"/>
          <w:szCs w:val="20"/>
        </w:rPr>
      </w:pPr>
    </w:p>
    <w:p w14:paraId="59E9CF53" w14:textId="3102D509" w:rsidR="00C03C66" w:rsidRPr="002B2651" w:rsidRDefault="007D72A7" w:rsidP="00063E1F">
      <w:pPr>
        <w:autoSpaceDE w:val="0"/>
        <w:autoSpaceDN w:val="0"/>
        <w:adjustRightInd w:val="0"/>
        <w:spacing w:line="480" w:lineRule="auto"/>
        <w:rPr>
          <w:sz w:val="20"/>
          <w:szCs w:val="20"/>
        </w:rPr>
      </w:pPr>
      <w:r w:rsidRPr="002B2651">
        <w:rPr>
          <w:sz w:val="20"/>
          <w:szCs w:val="20"/>
        </w:rPr>
        <w:lastRenderedPageBreak/>
        <w:t xml:space="preserve">Boyer’s remarks also imply </w:t>
      </w:r>
      <w:r w:rsidR="001B0C42" w:rsidRPr="002B2651">
        <w:rPr>
          <w:sz w:val="20"/>
          <w:szCs w:val="20"/>
        </w:rPr>
        <w:t xml:space="preserve">a positive impact from teaching upon research, encouraging scholars to be </w:t>
      </w:r>
      <w:proofErr w:type="gramStart"/>
      <w:r w:rsidR="001B0C42" w:rsidRPr="002B2651">
        <w:rPr>
          <w:sz w:val="20"/>
          <w:szCs w:val="20"/>
        </w:rPr>
        <w:t>more creative researchers capable of transforming and extending knowledge</w:t>
      </w:r>
      <w:proofErr w:type="gramEnd"/>
      <w:r w:rsidR="001B0C42" w:rsidRPr="002B2651">
        <w:rPr>
          <w:sz w:val="20"/>
          <w:szCs w:val="20"/>
        </w:rPr>
        <w:t xml:space="preserve"> in new ways in the process of enticing future scholars. Much of this incorporates and overlaps with perhaps one of the least influential aspects of Boyer’s work: the recognition of integration as a form of scholarship that extends the dissemination of academic knowledge in more open, accessible, public and popular ways. </w:t>
      </w:r>
      <w:proofErr w:type="gramStart"/>
      <w:r w:rsidR="001B0C42" w:rsidRPr="002B2651">
        <w:rPr>
          <w:sz w:val="20"/>
          <w:szCs w:val="20"/>
        </w:rPr>
        <w:t xml:space="preserve">Boyer’s overlapping forms of scholarship entail a conception of teaching that not only becomes the object </w:t>
      </w:r>
      <w:r w:rsidR="001B0C42" w:rsidRPr="002B2651">
        <w:rPr>
          <w:i/>
          <w:sz w:val="20"/>
          <w:szCs w:val="20"/>
        </w:rPr>
        <w:t>of</w:t>
      </w:r>
      <w:r w:rsidR="001B0C42" w:rsidRPr="002B2651">
        <w:rPr>
          <w:sz w:val="20"/>
          <w:szCs w:val="20"/>
        </w:rPr>
        <w:t xml:space="preserve"> a traditional understanding of research (in relation to discovery </w:t>
      </w:r>
      <w:r w:rsidR="001B0C42" w:rsidRPr="002B2651">
        <w:rPr>
          <w:i/>
          <w:sz w:val="20"/>
          <w:szCs w:val="20"/>
        </w:rPr>
        <w:t>about</w:t>
      </w:r>
      <w:r w:rsidR="001B0C42" w:rsidRPr="002B2651">
        <w:rPr>
          <w:sz w:val="20"/>
          <w:szCs w:val="20"/>
        </w:rPr>
        <w:t xml:space="preserve"> teaching encouraged by the existing literature on the scholarship of learning and teaching and the classroom researcher) but, through the activity of integration</w:t>
      </w:r>
      <w:r w:rsidR="00C03C66" w:rsidRPr="002B2651">
        <w:rPr>
          <w:sz w:val="20"/>
          <w:szCs w:val="20"/>
        </w:rPr>
        <w:t xml:space="preserve"> connected to increasingly diverse group of students within popular systems of mass higher education, discovery that follows </w:t>
      </w:r>
      <w:r w:rsidR="00C03C66" w:rsidRPr="002B2651">
        <w:rPr>
          <w:i/>
          <w:sz w:val="20"/>
          <w:szCs w:val="20"/>
        </w:rPr>
        <w:t xml:space="preserve">from </w:t>
      </w:r>
      <w:r w:rsidR="00C03C66" w:rsidRPr="002B2651">
        <w:rPr>
          <w:sz w:val="20"/>
          <w:szCs w:val="20"/>
        </w:rPr>
        <w:t>teaching, involving</w:t>
      </w:r>
      <w:r w:rsidR="001B0C42" w:rsidRPr="002B2651">
        <w:rPr>
          <w:sz w:val="20"/>
          <w:szCs w:val="20"/>
        </w:rPr>
        <w:t xml:space="preserve"> </w:t>
      </w:r>
      <w:r w:rsidR="00537BD8" w:rsidRPr="002B2651">
        <w:rPr>
          <w:sz w:val="20"/>
          <w:szCs w:val="20"/>
        </w:rPr>
        <w:t xml:space="preserve">both </w:t>
      </w:r>
      <w:r w:rsidR="001B0C42" w:rsidRPr="002B2651">
        <w:rPr>
          <w:sz w:val="20"/>
          <w:szCs w:val="20"/>
        </w:rPr>
        <w:t xml:space="preserve">the teacher </w:t>
      </w:r>
      <w:r w:rsidR="00537BD8" w:rsidRPr="002B2651">
        <w:rPr>
          <w:sz w:val="20"/>
          <w:szCs w:val="20"/>
        </w:rPr>
        <w:t xml:space="preserve">and students </w:t>
      </w:r>
      <w:r w:rsidR="001B0C42" w:rsidRPr="002B2651">
        <w:rPr>
          <w:sz w:val="20"/>
          <w:szCs w:val="20"/>
        </w:rPr>
        <w:t>as</w:t>
      </w:r>
      <w:r w:rsidR="00537BD8" w:rsidRPr="002B2651">
        <w:rPr>
          <w:sz w:val="20"/>
          <w:szCs w:val="20"/>
        </w:rPr>
        <w:t xml:space="preserve"> agents </w:t>
      </w:r>
      <w:r w:rsidR="001B0C42" w:rsidRPr="002B2651">
        <w:rPr>
          <w:sz w:val="20"/>
          <w:szCs w:val="20"/>
        </w:rPr>
        <w:t>i</w:t>
      </w:r>
      <w:r w:rsidR="00537BD8" w:rsidRPr="002B2651">
        <w:rPr>
          <w:sz w:val="20"/>
          <w:szCs w:val="20"/>
        </w:rPr>
        <w:t>n</w:t>
      </w:r>
      <w:r w:rsidR="00C03C66" w:rsidRPr="002B2651">
        <w:rPr>
          <w:sz w:val="20"/>
          <w:szCs w:val="20"/>
        </w:rPr>
        <w:t xml:space="preserve"> a different kind of knowledge production.</w:t>
      </w:r>
      <w:proofErr w:type="gramEnd"/>
    </w:p>
    <w:p w14:paraId="54B396BB" w14:textId="77777777" w:rsidR="00C03C66" w:rsidRPr="002B2651" w:rsidRDefault="00C03C66" w:rsidP="00063E1F">
      <w:pPr>
        <w:autoSpaceDE w:val="0"/>
        <w:autoSpaceDN w:val="0"/>
        <w:adjustRightInd w:val="0"/>
        <w:spacing w:line="480" w:lineRule="auto"/>
        <w:rPr>
          <w:sz w:val="20"/>
          <w:szCs w:val="20"/>
        </w:rPr>
      </w:pPr>
    </w:p>
    <w:p w14:paraId="04B8E0DC" w14:textId="1B5B4642" w:rsidR="00011EA6" w:rsidRPr="002B2651" w:rsidRDefault="00C03C66" w:rsidP="004E3276">
      <w:pPr>
        <w:autoSpaceDE w:val="0"/>
        <w:autoSpaceDN w:val="0"/>
        <w:adjustRightInd w:val="0"/>
        <w:spacing w:line="480" w:lineRule="auto"/>
        <w:rPr>
          <w:sz w:val="20"/>
          <w:szCs w:val="20"/>
        </w:rPr>
      </w:pPr>
      <w:r w:rsidRPr="002B2651">
        <w:rPr>
          <w:sz w:val="20"/>
          <w:szCs w:val="20"/>
        </w:rPr>
        <w:t xml:space="preserve">In this context, </w:t>
      </w:r>
      <w:r w:rsidR="00B341D9" w:rsidRPr="002B2651">
        <w:rPr>
          <w:sz w:val="20"/>
          <w:szCs w:val="20"/>
        </w:rPr>
        <w:t>Skelton (2005, 65)</w:t>
      </w:r>
      <w:r w:rsidR="000D0A07" w:rsidRPr="002B2651">
        <w:rPr>
          <w:sz w:val="20"/>
          <w:szCs w:val="20"/>
        </w:rPr>
        <w:t xml:space="preserve"> and </w:t>
      </w:r>
      <w:proofErr w:type="spellStart"/>
      <w:r w:rsidR="000D0A07" w:rsidRPr="002B2651">
        <w:rPr>
          <w:sz w:val="20"/>
          <w:szCs w:val="20"/>
        </w:rPr>
        <w:t>Johnes</w:t>
      </w:r>
      <w:proofErr w:type="spellEnd"/>
      <w:r w:rsidR="000D0A07" w:rsidRPr="002B2651">
        <w:rPr>
          <w:sz w:val="20"/>
          <w:szCs w:val="20"/>
        </w:rPr>
        <w:t xml:space="preserve"> (</w:t>
      </w:r>
      <w:r w:rsidR="00B341D9" w:rsidRPr="002B2651">
        <w:rPr>
          <w:sz w:val="20"/>
          <w:szCs w:val="20"/>
        </w:rPr>
        <w:t>2006, 29-30</w:t>
      </w:r>
      <w:r w:rsidRPr="002B2651">
        <w:rPr>
          <w:sz w:val="20"/>
          <w:szCs w:val="20"/>
        </w:rPr>
        <w:t>) have</w:t>
      </w:r>
      <w:r w:rsidR="000D0A07" w:rsidRPr="002B2651">
        <w:rPr>
          <w:sz w:val="20"/>
          <w:szCs w:val="20"/>
        </w:rPr>
        <w:t xml:space="preserve"> noted a number of institutions that are developing a reputation for what, as an inversion of the usual assumption about influence, has been termed teaching-led research.</w:t>
      </w:r>
      <w:r w:rsidR="001B0C42" w:rsidRPr="002B2651">
        <w:rPr>
          <w:sz w:val="20"/>
          <w:szCs w:val="20"/>
        </w:rPr>
        <w:t xml:space="preserve"> Th</w:t>
      </w:r>
      <w:r w:rsidR="000D0A07" w:rsidRPr="002B2651">
        <w:rPr>
          <w:sz w:val="20"/>
          <w:szCs w:val="20"/>
        </w:rPr>
        <w:t xml:space="preserve">is notion of teaching-led research is not new, although it has – for </w:t>
      </w:r>
      <w:r w:rsidR="001B0C42" w:rsidRPr="002B2651">
        <w:rPr>
          <w:sz w:val="20"/>
          <w:szCs w:val="20"/>
        </w:rPr>
        <w:t xml:space="preserve">the reasons </w:t>
      </w:r>
      <w:r w:rsidR="000D0A07" w:rsidRPr="002B2651">
        <w:rPr>
          <w:sz w:val="20"/>
          <w:szCs w:val="20"/>
        </w:rPr>
        <w:t xml:space="preserve">outlined – received relatively little </w:t>
      </w:r>
      <w:r w:rsidR="001B0C42" w:rsidRPr="002B2651">
        <w:rPr>
          <w:sz w:val="20"/>
          <w:szCs w:val="20"/>
        </w:rPr>
        <w:t xml:space="preserve">attention or </w:t>
      </w:r>
      <w:r w:rsidR="000D0A07" w:rsidRPr="002B2651">
        <w:rPr>
          <w:sz w:val="20"/>
          <w:szCs w:val="20"/>
        </w:rPr>
        <w:t>consideration.</w:t>
      </w:r>
      <w:r w:rsidR="006021C2" w:rsidRPr="002B2651">
        <w:rPr>
          <w:sz w:val="20"/>
          <w:szCs w:val="20"/>
          <w:vertAlign w:val="superscript"/>
        </w:rPr>
        <w:footnoteReference w:id="10"/>
      </w:r>
      <w:r w:rsidR="000D0A07" w:rsidRPr="002B2651">
        <w:rPr>
          <w:sz w:val="20"/>
          <w:szCs w:val="20"/>
        </w:rPr>
        <w:t xml:space="preserve"> </w:t>
      </w:r>
      <w:r w:rsidRPr="002B2651">
        <w:rPr>
          <w:sz w:val="20"/>
          <w:szCs w:val="20"/>
        </w:rPr>
        <w:t>Harland (2016), for example, employs the term as a way of positively rethinking how teaching and research</w:t>
      </w:r>
      <w:r w:rsidR="00011EA6" w:rsidRPr="002B2651">
        <w:rPr>
          <w:sz w:val="20"/>
          <w:szCs w:val="20"/>
        </w:rPr>
        <w:t xml:space="preserve"> activity </w:t>
      </w:r>
      <w:proofErr w:type="gramStart"/>
      <w:r w:rsidR="00011EA6" w:rsidRPr="002B2651">
        <w:rPr>
          <w:sz w:val="20"/>
          <w:szCs w:val="20"/>
        </w:rPr>
        <w:t>might be designed</w:t>
      </w:r>
      <w:proofErr w:type="gramEnd"/>
      <w:r w:rsidR="00011EA6" w:rsidRPr="002B2651">
        <w:rPr>
          <w:sz w:val="20"/>
          <w:szCs w:val="20"/>
        </w:rPr>
        <w:t xml:space="preserve"> to</w:t>
      </w:r>
      <w:r w:rsidRPr="002B2651">
        <w:rPr>
          <w:sz w:val="20"/>
          <w:szCs w:val="20"/>
        </w:rPr>
        <w:t xml:space="preserve"> intersect in a way that ensures a positive enhancement to </w:t>
      </w:r>
      <w:r w:rsidR="00011EA6" w:rsidRPr="002B2651">
        <w:rPr>
          <w:sz w:val="20"/>
          <w:szCs w:val="20"/>
        </w:rPr>
        <w:t xml:space="preserve">the teacher’s </w:t>
      </w:r>
      <w:r w:rsidRPr="002B2651">
        <w:rPr>
          <w:sz w:val="20"/>
          <w:szCs w:val="20"/>
        </w:rPr>
        <w:t>existing disciplinary research.</w:t>
      </w:r>
      <w:r w:rsidR="00011EA6" w:rsidRPr="002B2651">
        <w:rPr>
          <w:sz w:val="20"/>
          <w:szCs w:val="20"/>
        </w:rPr>
        <w:t xml:space="preserve"> </w:t>
      </w:r>
      <w:r w:rsidR="00BA1931" w:rsidRPr="002B2651">
        <w:rPr>
          <w:sz w:val="20"/>
          <w:szCs w:val="20"/>
        </w:rPr>
        <w:t xml:space="preserve">Thompson (2001), </w:t>
      </w:r>
      <w:r w:rsidR="00011EA6" w:rsidRPr="002B2651">
        <w:rPr>
          <w:sz w:val="20"/>
          <w:szCs w:val="20"/>
        </w:rPr>
        <w:t xml:space="preserve">in contrast, </w:t>
      </w:r>
      <w:r w:rsidR="0097725C" w:rsidRPr="002B2651">
        <w:rPr>
          <w:sz w:val="20"/>
          <w:szCs w:val="20"/>
        </w:rPr>
        <w:t xml:space="preserve">advocates the ‘productive traffic’ that follows from teaching </w:t>
      </w:r>
      <w:r w:rsidR="0097725C" w:rsidRPr="002B2651">
        <w:rPr>
          <w:i/>
          <w:sz w:val="20"/>
          <w:szCs w:val="20"/>
        </w:rPr>
        <w:t>outside</w:t>
      </w:r>
      <w:r w:rsidR="0097725C" w:rsidRPr="002B2651">
        <w:rPr>
          <w:sz w:val="20"/>
          <w:szCs w:val="20"/>
        </w:rPr>
        <w:t xml:space="preserve"> of one’s research areas and allowing teaching to lead or define our research, especially in the way it creatively expands or radically transforms the established canon treated by scholarly research. </w:t>
      </w:r>
      <w:r w:rsidR="00DE2718">
        <w:rPr>
          <w:sz w:val="20"/>
          <w:szCs w:val="20"/>
        </w:rPr>
        <w:t xml:space="preserve">In addition, </w:t>
      </w:r>
      <w:r w:rsidR="00280910" w:rsidRPr="002B2651">
        <w:rPr>
          <w:sz w:val="20"/>
          <w:szCs w:val="20"/>
        </w:rPr>
        <w:t>Scott</w:t>
      </w:r>
      <w:r w:rsidR="00DC638D" w:rsidRPr="002B2651">
        <w:rPr>
          <w:sz w:val="20"/>
          <w:szCs w:val="20"/>
        </w:rPr>
        <w:t xml:space="preserve"> (2005, 64</w:t>
      </w:r>
      <w:r w:rsidR="000D0A07" w:rsidRPr="002B2651">
        <w:rPr>
          <w:sz w:val="20"/>
          <w:szCs w:val="20"/>
        </w:rPr>
        <w:t>) argues that “bi</w:t>
      </w:r>
      <w:r w:rsidR="00280910" w:rsidRPr="002B2651">
        <w:rPr>
          <w:sz w:val="20"/>
          <w:szCs w:val="20"/>
        </w:rPr>
        <w:t xml:space="preserve">g ideas” </w:t>
      </w:r>
      <w:r w:rsidR="000D0A07" w:rsidRPr="002B2651">
        <w:rPr>
          <w:sz w:val="20"/>
          <w:szCs w:val="20"/>
        </w:rPr>
        <w:t xml:space="preserve">in research </w:t>
      </w:r>
      <w:r w:rsidR="00280910" w:rsidRPr="002B2651">
        <w:rPr>
          <w:sz w:val="20"/>
          <w:szCs w:val="20"/>
        </w:rPr>
        <w:t>have often grown out of intellectual genres quite unlike</w:t>
      </w:r>
      <w:r w:rsidR="00011EA6" w:rsidRPr="002B2651">
        <w:rPr>
          <w:sz w:val="20"/>
          <w:szCs w:val="20"/>
        </w:rPr>
        <w:t xml:space="preserve"> those of</w:t>
      </w:r>
      <w:r w:rsidR="00280910" w:rsidRPr="002B2651">
        <w:rPr>
          <w:sz w:val="20"/>
          <w:szCs w:val="20"/>
        </w:rPr>
        <w:t xml:space="preserve"> modern research practice (essays, commentaries, </w:t>
      </w:r>
      <w:r w:rsidR="00BA1931" w:rsidRPr="002B2651">
        <w:rPr>
          <w:sz w:val="20"/>
          <w:szCs w:val="20"/>
        </w:rPr>
        <w:t>public lectures</w:t>
      </w:r>
      <w:r w:rsidR="00011EA6" w:rsidRPr="002B2651">
        <w:rPr>
          <w:sz w:val="20"/>
          <w:szCs w:val="20"/>
        </w:rPr>
        <w:t>, and blogs</w:t>
      </w:r>
      <w:r w:rsidR="00BA1931" w:rsidRPr="002B2651">
        <w:rPr>
          <w:sz w:val="20"/>
          <w:szCs w:val="20"/>
        </w:rPr>
        <w:t xml:space="preserve"> rather than academic books and </w:t>
      </w:r>
      <w:r w:rsidR="00A117F4" w:rsidRPr="002B2651">
        <w:rPr>
          <w:sz w:val="20"/>
          <w:szCs w:val="20"/>
        </w:rPr>
        <w:t xml:space="preserve">articles). </w:t>
      </w:r>
      <w:r w:rsidR="0097725C" w:rsidRPr="002B2651">
        <w:rPr>
          <w:sz w:val="20"/>
          <w:szCs w:val="20"/>
        </w:rPr>
        <w:t xml:space="preserve">In order to </w:t>
      </w:r>
      <w:r w:rsidR="00011EA6" w:rsidRPr="002B2651">
        <w:rPr>
          <w:sz w:val="20"/>
          <w:szCs w:val="20"/>
        </w:rPr>
        <w:t xml:space="preserve">incorporate these different approaches into a </w:t>
      </w:r>
      <w:r w:rsidR="00011EA6" w:rsidRPr="002B2651">
        <w:rPr>
          <w:sz w:val="20"/>
          <w:szCs w:val="20"/>
        </w:rPr>
        <w:lastRenderedPageBreak/>
        <w:t>more comprehensive</w:t>
      </w:r>
      <w:r w:rsidR="0097725C" w:rsidRPr="002B2651">
        <w:rPr>
          <w:sz w:val="20"/>
          <w:szCs w:val="20"/>
        </w:rPr>
        <w:t xml:space="preserve"> </w:t>
      </w:r>
      <w:r w:rsidR="00011EA6" w:rsidRPr="002B2651">
        <w:rPr>
          <w:sz w:val="20"/>
          <w:szCs w:val="20"/>
        </w:rPr>
        <w:t>and dynamic conception of t</w:t>
      </w:r>
      <w:r w:rsidR="0097725C" w:rsidRPr="002B2651">
        <w:rPr>
          <w:sz w:val="20"/>
          <w:szCs w:val="20"/>
        </w:rPr>
        <w:t>he research-teaching nexus</w:t>
      </w:r>
      <w:r w:rsidR="00011EA6" w:rsidRPr="002B2651">
        <w:rPr>
          <w:sz w:val="20"/>
          <w:szCs w:val="20"/>
        </w:rPr>
        <w:t>, we</w:t>
      </w:r>
      <w:r w:rsidR="0097725C" w:rsidRPr="002B2651">
        <w:rPr>
          <w:sz w:val="20"/>
          <w:szCs w:val="20"/>
        </w:rPr>
        <w:t xml:space="preserve"> might</w:t>
      </w:r>
      <w:r w:rsidR="00011EA6" w:rsidRPr="002B2651">
        <w:rPr>
          <w:sz w:val="20"/>
          <w:szCs w:val="20"/>
        </w:rPr>
        <w:t xml:space="preserve"> therefore distinguish </w:t>
      </w:r>
      <w:proofErr w:type="gramStart"/>
      <w:r w:rsidR="00011EA6" w:rsidRPr="002B2651">
        <w:rPr>
          <w:sz w:val="20"/>
          <w:szCs w:val="20"/>
        </w:rPr>
        <w:t>between</w:t>
      </w:r>
      <w:proofErr w:type="gramEnd"/>
      <w:r w:rsidR="00011EA6" w:rsidRPr="002B2651">
        <w:rPr>
          <w:sz w:val="20"/>
          <w:szCs w:val="20"/>
        </w:rPr>
        <w:t>:</w:t>
      </w:r>
    </w:p>
    <w:p w14:paraId="16496676" w14:textId="77777777" w:rsidR="00011EA6" w:rsidRPr="002B2651" w:rsidRDefault="00011EA6" w:rsidP="004E3276">
      <w:pPr>
        <w:autoSpaceDE w:val="0"/>
        <w:autoSpaceDN w:val="0"/>
        <w:adjustRightInd w:val="0"/>
        <w:spacing w:line="480" w:lineRule="auto"/>
        <w:rPr>
          <w:sz w:val="20"/>
          <w:szCs w:val="20"/>
        </w:rPr>
      </w:pPr>
    </w:p>
    <w:p w14:paraId="26D58AF3" w14:textId="6160EAAA" w:rsidR="00011EA6" w:rsidRPr="002B2651" w:rsidRDefault="0097725C" w:rsidP="00011EA6">
      <w:pPr>
        <w:pStyle w:val="ListParagraph"/>
        <w:numPr>
          <w:ilvl w:val="0"/>
          <w:numId w:val="15"/>
        </w:numPr>
        <w:autoSpaceDE w:val="0"/>
        <w:autoSpaceDN w:val="0"/>
        <w:adjustRightInd w:val="0"/>
        <w:spacing w:line="480" w:lineRule="auto"/>
        <w:rPr>
          <w:sz w:val="20"/>
          <w:szCs w:val="20"/>
        </w:rPr>
      </w:pPr>
      <w:proofErr w:type="gramStart"/>
      <w:r w:rsidRPr="002B2651">
        <w:rPr>
          <w:i/>
          <w:sz w:val="20"/>
          <w:szCs w:val="20"/>
        </w:rPr>
        <w:t>teaching-based</w:t>
      </w:r>
      <w:proofErr w:type="gramEnd"/>
      <w:r w:rsidRPr="002B2651">
        <w:rPr>
          <w:i/>
          <w:sz w:val="20"/>
          <w:szCs w:val="20"/>
        </w:rPr>
        <w:t xml:space="preserve"> </w:t>
      </w:r>
      <w:r w:rsidR="00011EA6" w:rsidRPr="002B2651">
        <w:rPr>
          <w:sz w:val="20"/>
          <w:szCs w:val="20"/>
        </w:rPr>
        <w:t xml:space="preserve">research: </w:t>
      </w:r>
      <w:r w:rsidRPr="002B2651">
        <w:rPr>
          <w:sz w:val="20"/>
          <w:szCs w:val="20"/>
        </w:rPr>
        <w:t>that takes pedagogy as the object or content of traditional research activities for disseminat</w:t>
      </w:r>
      <w:r w:rsidR="00011EA6" w:rsidRPr="002B2651">
        <w:rPr>
          <w:sz w:val="20"/>
          <w:szCs w:val="20"/>
        </w:rPr>
        <w:t>ion via talks and publications.</w:t>
      </w:r>
    </w:p>
    <w:p w14:paraId="3A91DE0B" w14:textId="5DA36B86" w:rsidR="00011EA6" w:rsidRPr="002B2651" w:rsidRDefault="0097725C" w:rsidP="00011EA6">
      <w:pPr>
        <w:pStyle w:val="ListParagraph"/>
        <w:numPr>
          <w:ilvl w:val="0"/>
          <w:numId w:val="15"/>
        </w:numPr>
        <w:autoSpaceDE w:val="0"/>
        <w:autoSpaceDN w:val="0"/>
        <w:adjustRightInd w:val="0"/>
        <w:spacing w:line="480" w:lineRule="auto"/>
        <w:rPr>
          <w:sz w:val="20"/>
          <w:szCs w:val="20"/>
        </w:rPr>
      </w:pPr>
      <w:proofErr w:type="gramStart"/>
      <w:r w:rsidRPr="002B2651">
        <w:rPr>
          <w:i/>
          <w:sz w:val="20"/>
          <w:szCs w:val="20"/>
        </w:rPr>
        <w:t>teaching-informed</w:t>
      </w:r>
      <w:proofErr w:type="gramEnd"/>
      <w:r w:rsidRPr="002B2651">
        <w:rPr>
          <w:i/>
          <w:sz w:val="20"/>
          <w:szCs w:val="20"/>
        </w:rPr>
        <w:t xml:space="preserve"> </w:t>
      </w:r>
      <w:r w:rsidR="00011EA6" w:rsidRPr="002B2651">
        <w:rPr>
          <w:sz w:val="20"/>
          <w:szCs w:val="20"/>
        </w:rPr>
        <w:t xml:space="preserve">research: </w:t>
      </w:r>
      <w:r w:rsidRPr="002B2651">
        <w:rPr>
          <w:sz w:val="20"/>
          <w:szCs w:val="20"/>
        </w:rPr>
        <w:t>that is motivated</w:t>
      </w:r>
      <w:r w:rsidR="004E3276" w:rsidRPr="002B2651">
        <w:rPr>
          <w:sz w:val="20"/>
          <w:szCs w:val="20"/>
        </w:rPr>
        <w:t xml:space="preserve"> and extended</w:t>
      </w:r>
      <w:r w:rsidRPr="002B2651">
        <w:rPr>
          <w:sz w:val="20"/>
          <w:szCs w:val="20"/>
        </w:rPr>
        <w:t xml:space="preserve"> by the interactions tha</w:t>
      </w:r>
      <w:r w:rsidR="004E3276" w:rsidRPr="002B2651">
        <w:rPr>
          <w:sz w:val="20"/>
          <w:szCs w:val="20"/>
        </w:rPr>
        <w:t xml:space="preserve">t follow from </w:t>
      </w:r>
      <w:r w:rsidR="00011EA6" w:rsidRPr="002B2651">
        <w:rPr>
          <w:sz w:val="20"/>
          <w:szCs w:val="20"/>
        </w:rPr>
        <w:t>teaching that area of research.</w:t>
      </w:r>
    </w:p>
    <w:p w14:paraId="374248AB" w14:textId="6543305E" w:rsidR="0097725C" w:rsidRPr="002B2651" w:rsidRDefault="004E3276" w:rsidP="00011EA6">
      <w:pPr>
        <w:pStyle w:val="ListParagraph"/>
        <w:numPr>
          <w:ilvl w:val="0"/>
          <w:numId w:val="15"/>
        </w:numPr>
        <w:autoSpaceDE w:val="0"/>
        <w:autoSpaceDN w:val="0"/>
        <w:adjustRightInd w:val="0"/>
        <w:spacing w:line="480" w:lineRule="auto"/>
        <w:rPr>
          <w:sz w:val="20"/>
          <w:szCs w:val="20"/>
        </w:rPr>
      </w:pPr>
      <w:proofErr w:type="gramStart"/>
      <w:r w:rsidRPr="002B2651">
        <w:rPr>
          <w:i/>
          <w:sz w:val="20"/>
          <w:szCs w:val="20"/>
        </w:rPr>
        <w:t>te</w:t>
      </w:r>
      <w:r w:rsidR="0097725C" w:rsidRPr="002B2651">
        <w:rPr>
          <w:i/>
          <w:sz w:val="20"/>
          <w:szCs w:val="20"/>
        </w:rPr>
        <w:t>aching-led</w:t>
      </w:r>
      <w:proofErr w:type="gramEnd"/>
      <w:r w:rsidRPr="002B2651">
        <w:rPr>
          <w:sz w:val="20"/>
          <w:szCs w:val="20"/>
        </w:rPr>
        <w:t xml:space="preserve"> r</w:t>
      </w:r>
      <w:r w:rsidR="00AE4E8D" w:rsidRPr="002B2651">
        <w:rPr>
          <w:sz w:val="20"/>
          <w:szCs w:val="20"/>
        </w:rPr>
        <w:t>esearch</w:t>
      </w:r>
      <w:r w:rsidR="00011EA6" w:rsidRPr="002B2651">
        <w:rPr>
          <w:sz w:val="20"/>
          <w:szCs w:val="20"/>
        </w:rPr>
        <w:t xml:space="preserve">: </w:t>
      </w:r>
      <w:r w:rsidR="00AE4E8D" w:rsidRPr="002B2651">
        <w:rPr>
          <w:sz w:val="20"/>
          <w:szCs w:val="20"/>
        </w:rPr>
        <w:t>that potentially transforms or re</w:t>
      </w:r>
      <w:r w:rsidRPr="002B2651">
        <w:rPr>
          <w:sz w:val="20"/>
          <w:szCs w:val="20"/>
        </w:rPr>
        <w:t xml:space="preserve">forms the character of research and the </w:t>
      </w:r>
      <w:r w:rsidR="00011EA6" w:rsidRPr="002B2651">
        <w:rPr>
          <w:sz w:val="20"/>
          <w:szCs w:val="20"/>
        </w:rPr>
        <w:t>research disciplines themselves</w:t>
      </w:r>
      <w:r w:rsidRPr="002B2651">
        <w:rPr>
          <w:sz w:val="20"/>
          <w:szCs w:val="20"/>
        </w:rPr>
        <w:t xml:space="preserve">.  </w:t>
      </w:r>
    </w:p>
    <w:p w14:paraId="05E45D2D" w14:textId="77777777" w:rsidR="00912C49" w:rsidRPr="002B2651" w:rsidRDefault="00011EA6" w:rsidP="000D0A07">
      <w:pPr>
        <w:autoSpaceDE w:val="0"/>
        <w:autoSpaceDN w:val="0"/>
        <w:adjustRightInd w:val="0"/>
        <w:spacing w:line="480" w:lineRule="auto"/>
        <w:rPr>
          <w:sz w:val="20"/>
          <w:szCs w:val="20"/>
        </w:rPr>
      </w:pPr>
      <w:r w:rsidRPr="002B2651">
        <w:rPr>
          <w:sz w:val="20"/>
          <w:szCs w:val="20"/>
        </w:rPr>
        <w:t xml:space="preserve">Since the notion of teaching-led research is the least familiar of these categories, it may be worth </w:t>
      </w:r>
      <w:r w:rsidR="00912C49" w:rsidRPr="002B2651">
        <w:rPr>
          <w:sz w:val="20"/>
          <w:szCs w:val="20"/>
        </w:rPr>
        <w:t xml:space="preserve">some concluding expansion of </w:t>
      </w:r>
      <w:r w:rsidRPr="002B2651">
        <w:rPr>
          <w:sz w:val="20"/>
          <w:szCs w:val="20"/>
        </w:rPr>
        <w:t xml:space="preserve">these remarks. </w:t>
      </w:r>
      <w:r w:rsidR="00A117F4" w:rsidRPr="002B2651">
        <w:rPr>
          <w:sz w:val="20"/>
          <w:szCs w:val="20"/>
        </w:rPr>
        <w:t xml:space="preserve">Scott (2005, 64) </w:t>
      </w:r>
      <w:r w:rsidR="008101F2" w:rsidRPr="002B2651">
        <w:rPr>
          <w:sz w:val="20"/>
          <w:szCs w:val="20"/>
        </w:rPr>
        <w:t xml:space="preserve">helpfully indicates </w:t>
      </w:r>
      <w:r w:rsidR="00A117F4" w:rsidRPr="002B2651">
        <w:rPr>
          <w:sz w:val="20"/>
          <w:szCs w:val="20"/>
        </w:rPr>
        <w:t>that the critical theorist Walter Benjamin first called for a reinvigoration of research through teaching in the 1930s.</w:t>
      </w:r>
      <w:r w:rsidR="008101F2" w:rsidRPr="002B2651">
        <w:rPr>
          <w:sz w:val="20"/>
          <w:szCs w:val="20"/>
        </w:rPr>
        <w:t xml:space="preserve"> </w:t>
      </w:r>
      <w:proofErr w:type="gramStart"/>
      <w:r w:rsidR="008101F2" w:rsidRPr="002B2651">
        <w:rPr>
          <w:sz w:val="20"/>
          <w:szCs w:val="20"/>
        </w:rPr>
        <w:t xml:space="preserve">Benjamin (1999, </w:t>
      </w:r>
      <w:r w:rsidR="00077A83" w:rsidRPr="002B2651">
        <w:rPr>
          <w:sz w:val="20"/>
          <w:szCs w:val="20"/>
        </w:rPr>
        <w:t>4</w:t>
      </w:r>
      <w:r w:rsidR="008101F2" w:rsidRPr="002B2651">
        <w:rPr>
          <w:sz w:val="20"/>
          <w:szCs w:val="20"/>
        </w:rPr>
        <w:t>1</w:t>
      </w:r>
      <w:r w:rsidR="00077A83" w:rsidRPr="002B2651">
        <w:rPr>
          <w:sz w:val="20"/>
          <w:szCs w:val="20"/>
        </w:rPr>
        <w:t>6-9)</w:t>
      </w:r>
      <w:r w:rsidR="008101F2" w:rsidRPr="002B2651">
        <w:rPr>
          <w:sz w:val="20"/>
          <w:szCs w:val="20"/>
        </w:rPr>
        <w:t>, critically intervening within discussions around traditional conceptions of scholarship and what is now termed the teaching-research nexus,</w:t>
      </w:r>
      <w:r w:rsidR="00077A83" w:rsidRPr="002B2651">
        <w:rPr>
          <w:sz w:val="20"/>
          <w:szCs w:val="20"/>
        </w:rPr>
        <w:t xml:space="preserve"> suggests, </w:t>
      </w:r>
      <w:r w:rsidR="00021B23" w:rsidRPr="002B2651">
        <w:rPr>
          <w:sz w:val="20"/>
          <w:szCs w:val="20"/>
        </w:rPr>
        <w:t>‘</w:t>
      </w:r>
      <w:r w:rsidR="00537BD8" w:rsidRPr="002B2651">
        <w:rPr>
          <w:sz w:val="20"/>
          <w:szCs w:val="20"/>
        </w:rPr>
        <w:t>We ought to re-examine the link between teaching [</w:t>
      </w:r>
      <w:proofErr w:type="spellStart"/>
      <w:r w:rsidR="00537BD8" w:rsidRPr="002B2651">
        <w:rPr>
          <w:i/>
          <w:sz w:val="20"/>
          <w:szCs w:val="20"/>
        </w:rPr>
        <w:t>Lehre</w:t>
      </w:r>
      <w:proofErr w:type="spellEnd"/>
      <w:r w:rsidR="00537BD8" w:rsidRPr="002B2651">
        <w:rPr>
          <w:sz w:val="20"/>
          <w:szCs w:val="20"/>
        </w:rPr>
        <w:t>] and research [</w:t>
      </w:r>
      <w:proofErr w:type="spellStart"/>
      <w:r w:rsidR="00537BD8" w:rsidRPr="002B2651">
        <w:rPr>
          <w:i/>
          <w:sz w:val="20"/>
          <w:szCs w:val="20"/>
        </w:rPr>
        <w:t>Forschung</w:t>
      </w:r>
      <w:proofErr w:type="spellEnd"/>
      <w:r w:rsidR="00537BD8" w:rsidRPr="002B2651">
        <w:rPr>
          <w:sz w:val="20"/>
          <w:szCs w:val="20"/>
        </w:rPr>
        <w:t>] on which traditi</w:t>
      </w:r>
      <w:r w:rsidR="00077A83" w:rsidRPr="002B2651">
        <w:rPr>
          <w:sz w:val="20"/>
          <w:szCs w:val="20"/>
        </w:rPr>
        <w:t>onal academic activity is based …</w:t>
      </w:r>
      <w:r w:rsidR="00021B23" w:rsidRPr="002B2651">
        <w:rPr>
          <w:sz w:val="20"/>
          <w:szCs w:val="20"/>
        </w:rPr>
        <w:t>we should not look to research to lead to a revival in teaching; instead it is more important to strive with a certain intransigence for an – albeit very indirect – improvement in research to emerge from teaching.’</w:t>
      </w:r>
      <w:proofErr w:type="gramEnd"/>
      <w:r w:rsidR="00537BD8" w:rsidRPr="002B2651">
        <w:rPr>
          <w:sz w:val="20"/>
          <w:szCs w:val="20"/>
        </w:rPr>
        <w:t xml:space="preserve"> </w:t>
      </w:r>
    </w:p>
    <w:p w14:paraId="7214EA02" w14:textId="77777777" w:rsidR="00912C49" w:rsidRPr="002B2651" w:rsidRDefault="00912C49" w:rsidP="000D0A07">
      <w:pPr>
        <w:autoSpaceDE w:val="0"/>
        <w:autoSpaceDN w:val="0"/>
        <w:adjustRightInd w:val="0"/>
        <w:spacing w:line="480" w:lineRule="auto"/>
        <w:rPr>
          <w:sz w:val="20"/>
          <w:szCs w:val="20"/>
        </w:rPr>
      </w:pPr>
    </w:p>
    <w:p w14:paraId="26F64EF4" w14:textId="66766965" w:rsidR="00912C49" w:rsidRPr="002B2651" w:rsidRDefault="008101F2" w:rsidP="001F796E">
      <w:pPr>
        <w:autoSpaceDE w:val="0"/>
        <w:autoSpaceDN w:val="0"/>
        <w:adjustRightInd w:val="0"/>
        <w:spacing w:line="480" w:lineRule="auto"/>
        <w:rPr>
          <w:sz w:val="20"/>
          <w:szCs w:val="20"/>
        </w:rPr>
      </w:pPr>
      <w:r w:rsidRPr="002B2651">
        <w:rPr>
          <w:sz w:val="20"/>
          <w:szCs w:val="20"/>
        </w:rPr>
        <w:t>For Benjamin</w:t>
      </w:r>
      <w:r w:rsidR="00BF232E" w:rsidRPr="002B2651">
        <w:rPr>
          <w:sz w:val="20"/>
          <w:szCs w:val="20"/>
        </w:rPr>
        <w:t xml:space="preserve"> (1999, 4</w:t>
      </w:r>
      <w:r w:rsidR="00077A83" w:rsidRPr="002B2651">
        <w:rPr>
          <w:sz w:val="20"/>
          <w:szCs w:val="20"/>
        </w:rPr>
        <w:t>6</w:t>
      </w:r>
      <w:r w:rsidR="00BF232E" w:rsidRPr="002B2651">
        <w:rPr>
          <w:sz w:val="20"/>
          <w:szCs w:val="20"/>
        </w:rPr>
        <w:t>1</w:t>
      </w:r>
      <w:r w:rsidR="00077A83" w:rsidRPr="002B2651">
        <w:rPr>
          <w:sz w:val="20"/>
          <w:szCs w:val="20"/>
        </w:rPr>
        <w:t>)</w:t>
      </w:r>
      <w:r w:rsidRPr="002B2651">
        <w:rPr>
          <w:sz w:val="20"/>
          <w:szCs w:val="20"/>
        </w:rPr>
        <w:t xml:space="preserve">, this responds to the contemporary </w:t>
      </w:r>
      <w:r w:rsidR="00077A83" w:rsidRPr="002B2651">
        <w:rPr>
          <w:sz w:val="20"/>
          <w:szCs w:val="20"/>
        </w:rPr>
        <w:t>‘</w:t>
      </w:r>
      <w:r w:rsidRPr="002B2651">
        <w:rPr>
          <w:sz w:val="20"/>
          <w:szCs w:val="20"/>
        </w:rPr>
        <w:t>crisis of education</w:t>
      </w:r>
      <w:r w:rsidR="00077A83" w:rsidRPr="002B2651">
        <w:rPr>
          <w:sz w:val="20"/>
          <w:szCs w:val="20"/>
        </w:rPr>
        <w:t>,’ which arises from the fact traditional scholarship had lost sight of its ‘pedagogical [</w:t>
      </w:r>
      <w:proofErr w:type="spellStart"/>
      <w:r w:rsidR="00077A83" w:rsidRPr="002B2651">
        <w:rPr>
          <w:i/>
          <w:sz w:val="20"/>
          <w:szCs w:val="20"/>
        </w:rPr>
        <w:t>didaktische</w:t>
      </w:r>
      <w:proofErr w:type="spellEnd"/>
      <w:r w:rsidR="00077A83" w:rsidRPr="002B2651">
        <w:rPr>
          <w:sz w:val="20"/>
          <w:szCs w:val="20"/>
        </w:rPr>
        <w:t xml:space="preserve">] task’. </w:t>
      </w:r>
      <w:r w:rsidR="001F796E" w:rsidRPr="002B2651">
        <w:rPr>
          <w:sz w:val="20"/>
          <w:szCs w:val="20"/>
        </w:rPr>
        <w:t>If there are ‘still university teachers who possess exact knowledge and exact skills, but it has already become impossible for them to transmit this knowledge further …this illustrates the truth</w:t>
      </w:r>
      <w:r w:rsidR="00DE2718">
        <w:rPr>
          <w:sz w:val="20"/>
          <w:szCs w:val="20"/>
        </w:rPr>
        <w:t xml:space="preserve"> that</w:t>
      </w:r>
      <w:r w:rsidR="001F796E" w:rsidRPr="002B2651">
        <w:rPr>
          <w:sz w:val="20"/>
          <w:szCs w:val="20"/>
        </w:rPr>
        <w:t xml:space="preserve"> the transmissibility of knowledge does not depend just on its wealth and exactness’ (Benjamin 1999, 291). </w:t>
      </w:r>
      <w:r w:rsidR="0058762E" w:rsidRPr="002B2651">
        <w:rPr>
          <w:sz w:val="20"/>
          <w:szCs w:val="20"/>
        </w:rPr>
        <w:t>T</w:t>
      </w:r>
      <w:r w:rsidR="00021B23" w:rsidRPr="002B2651">
        <w:rPr>
          <w:sz w:val="20"/>
          <w:szCs w:val="20"/>
        </w:rPr>
        <w:t xml:space="preserve">raditional scholarly subjects </w:t>
      </w:r>
      <w:r w:rsidR="00077A83" w:rsidRPr="002B2651">
        <w:rPr>
          <w:sz w:val="20"/>
          <w:szCs w:val="20"/>
        </w:rPr>
        <w:t xml:space="preserve">therefore </w:t>
      </w:r>
      <w:r w:rsidR="00021B23" w:rsidRPr="002B2651">
        <w:rPr>
          <w:sz w:val="20"/>
          <w:szCs w:val="20"/>
        </w:rPr>
        <w:t>need to be emancipated</w:t>
      </w:r>
      <w:r w:rsidR="00077A83" w:rsidRPr="002B2651">
        <w:rPr>
          <w:sz w:val="20"/>
          <w:szCs w:val="20"/>
        </w:rPr>
        <w:t xml:space="preserve"> </w:t>
      </w:r>
      <w:r w:rsidR="00021B23" w:rsidRPr="002B2651">
        <w:rPr>
          <w:sz w:val="20"/>
          <w:szCs w:val="20"/>
        </w:rPr>
        <w:t>from the ‘forms in which such scholarly acquisition took place</w:t>
      </w:r>
      <w:r w:rsidR="00BF232E" w:rsidRPr="002B2651">
        <w:rPr>
          <w:sz w:val="20"/>
          <w:szCs w:val="20"/>
        </w:rPr>
        <w:t>’: the lecture, book or article, which – even when concessions to popularity are made by appealing to shared experience or omitting the more difficult lines of thought – remain</w:t>
      </w:r>
      <w:r w:rsidR="00DE2718">
        <w:rPr>
          <w:sz w:val="20"/>
          <w:szCs w:val="20"/>
        </w:rPr>
        <w:t xml:space="preserve"> formally</w:t>
      </w:r>
      <w:r w:rsidR="00BF232E" w:rsidRPr="002B2651">
        <w:rPr>
          <w:sz w:val="20"/>
          <w:szCs w:val="20"/>
        </w:rPr>
        <w:t xml:space="preserve"> identical with the traditional dissemination of scholarly research (Benjamin 1999, 419). </w:t>
      </w:r>
      <w:r w:rsidR="00912C49" w:rsidRPr="002B2651">
        <w:rPr>
          <w:sz w:val="20"/>
          <w:szCs w:val="20"/>
        </w:rPr>
        <w:t xml:space="preserve">Benjamin calls for educators to embrace the pedagogical potential of new media and to experiment with popular forms of education to ensure not the correct </w:t>
      </w:r>
      <w:r w:rsidR="00912C49" w:rsidRPr="002B2651">
        <w:rPr>
          <w:i/>
          <w:sz w:val="20"/>
          <w:szCs w:val="20"/>
        </w:rPr>
        <w:t xml:space="preserve">transmission </w:t>
      </w:r>
      <w:r w:rsidR="00912C49" w:rsidRPr="002B2651">
        <w:rPr>
          <w:sz w:val="20"/>
          <w:szCs w:val="20"/>
        </w:rPr>
        <w:t xml:space="preserve">of the content of knowledge but its formal </w:t>
      </w:r>
      <w:r w:rsidR="00912C49" w:rsidRPr="002B2651">
        <w:rPr>
          <w:i/>
          <w:sz w:val="20"/>
          <w:szCs w:val="20"/>
        </w:rPr>
        <w:t>transmissibility</w:t>
      </w:r>
      <w:r w:rsidR="00912C49" w:rsidRPr="002B2651">
        <w:rPr>
          <w:sz w:val="20"/>
          <w:szCs w:val="20"/>
        </w:rPr>
        <w:t xml:space="preserve">. </w:t>
      </w:r>
    </w:p>
    <w:p w14:paraId="70E7F5F3" w14:textId="77777777" w:rsidR="00912C49" w:rsidRPr="002B2651" w:rsidRDefault="00912C49" w:rsidP="001F796E">
      <w:pPr>
        <w:autoSpaceDE w:val="0"/>
        <w:autoSpaceDN w:val="0"/>
        <w:adjustRightInd w:val="0"/>
        <w:spacing w:line="480" w:lineRule="auto"/>
        <w:rPr>
          <w:sz w:val="20"/>
          <w:szCs w:val="20"/>
        </w:rPr>
      </w:pPr>
    </w:p>
    <w:p w14:paraId="339510EB" w14:textId="5CF6331A" w:rsidR="001F796E" w:rsidRPr="002B2651" w:rsidRDefault="00DE2718" w:rsidP="001F796E">
      <w:pPr>
        <w:autoSpaceDE w:val="0"/>
        <w:autoSpaceDN w:val="0"/>
        <w:adjustRightInd w:val="0"/>
        <w:spacing w:line="480" w:lineRule="auto"/>
        <w:rPr>
          <w:sz w:val="20"/>
          <w:szCs w:val="20"/>
        </w:rPr>
      </w:pPr>
      <w:r>
        <w:rPr>
          <w:sz w:val="20"/>
          <w:szCs w:val="20"/>
        </w:rPr>
        <w:lastRenderedPageBreak/>
        <w:t>Furthermore, a</w:t>
      </w:r>
      <w:r w:rsidR="00912C49" w:rsidRPr="002B2651">
        <w:rPr>
          <w:sz w:val="20"/>
          <w:szCs w:val="20"/>
        </w:rPr>
        <w:t>s Benjamin</w:t>
      </w:r>
      <w:r w:rsidR="001722CB">
        <w:rPr>
          <w:sz w:val="20"/>
          <w:szCs w:val="20"/>
        </w:rPr>
        <w:t xml:space="preserve"> (1999, 419-20)</w:t>
      </w:r>
      <w:r w:rsidR="00912C49" w:rsidRPr="002B2651">
        <w:rPr>
          <w:sz w:val="20"/>
          <w:szCs w:val="20"/>
        </w:rPr>
        <w:t xml:space="preserve"> makes clear, t</w:t>
      </w:r>
      <w:r w:rsidR="001F796E" w:rsidRPr="002B2651">
        <w:rPr>
          <w:sz w:val="20"/>
          <w:szCs w:val="20"/>
        </w:rPr>
        <w:t>his will occur ‘only …because in principle teaching is capable of adapting to a new strata of students in such a way that a rearrangement of the subject matter would give rise to e</w:t>
      </w:r>
      <w:r w:rsidR="001722CB">
        <w:rPr>
          <w:sz w:val="20"/>
          <w:szCs w:val="20"/>
        </w:rPr>
        <w:t xml:space="preserve">ntirely new forms of knowledge.’ </w:t>
      </w:r>
      <w:proofErr w:type="gramStart"/>
      <w:r w:rsidR="004F4F57" w:rsidRPr="002B2651">
        <w:rPr>
          <w:sz w:val="20"/>
          <w:szCs w:val="20"/>
        </w:rPr>
        <w:t xml:space="preserve">To meet the demands of a </w:t>
      </w:r>
      <w:r>
        <w:rPr>
          <w:sz w:val="20"/>
          <w:szCs w:val="20"/>
        </w:rPr>
        <w:t xml:space="preserve">growing </w:t>
      </w:r>
      <w:r w:rsidR="004F4F57" w:rsidRPr="002B2651">
        <w:rPr>
          <w:sz w:val="20"/>
          <w:szCs w:val="20"/>
        </w:rPr>
        <w:t>p</w:t>
      </w:r>
      <w:r w:rsidR="009F2994" w:rsidRPr="002B2651">
        <w:rPr>
          <w:sz w:val="20"/>
          <w:szCs w:val="20"/>
        </w:rPr>
        <w:t>ublic, connected t</w:t>
      </w:r>
      <w:r w:rsidR="004F4F57" w:rsidRPr="002B2651">
        <w:rPr>
          <w:sz w:val="20"/>
          <w:szCs w:val="20"/>
        </w:rPr>
        <w:t>hrough the pedagogic potential of new</w:t>
      </w:r>
      <w:r w:rsidR="009F2994" w:rsidRPr="002B2651">
        <w:rPr>
          <w:sz w:val="20"/>
          <w:szCs w:val="20"/>
        </w:rPr>
        <w:t xml:space="preserve"> media </w:t>
      </w:r>
      <w:r w:rsidR="004F4F57" w:rsidRPr="002B2651">
        <w:rPr>
          <w:sz w:val="20"/>
          <w:szCs w:val="20"/>
        </w:rPr>
        <w:t>and</w:t>
      </w:r>
      <w:r w:rsidR="009F2994" w:rsidRPr="002B2651">
        <w:rPr>
          <w:sz w:val="20"/>
          <w:szCs w:val="20"/>
        </w:rPr>
        <w:t xml:space="preserve"> </w:t>
      </w:r>
      <w:r w:rsidR="004F4F57" w:rsidRPr="002B2651">
        <w:rPr>
          <w:sz w:val="20"/>
          <w:szCs w:val="20"/>
        </w:rPr>
        <w:t xml:space="preserve">the expansion of new kinds of educational institutions, it is </w:t>
      </w:r>
      <w:r w:rsidR="001F796E" w:rsidRPr="002B2651">
        <w:rPr>
          <w:sz w:val="20"/>
          <w:szCs w:val="20"/>
        </w:rPr>
        <w:t xml:space="preserve">therefore </w:t>
      </w:r>
      <w:r w:rsidR="004F4F57" w:rsidRPr="002B2651">
        <w:rPr>
          <w:sz w:val="20"/>
          <w:szCs w:val="20"/>
        </w:rPr>
        <w:t>necessary not only to mobilize</w:t>
      </w:r>
      <w:r w:rsidR="00BF232E" w:rsidRPr="002B2651">
        <w:rPr>
          <w:sz w:val="20"/>
          <w:szCs w:val="20"/>
        </w:rPr>
        <w:t xml:space="preserve"> knowledge in the direction of the public</w:t>
      </w:r>
      <w:r w:rsidR="00912C49" w:rsidRPr="002B2651">
        <w:rPr>
          <w:sz w:val="20"/>
          <w:szCs w:val="20"/>
        </w:rPr>
        <w:t xml:space="preserve"> (to render</w:t>
      </w:r>
      <w:r w:rsidR="004F4F57" w:rsidRPr="002B2651">
        <w:rPr>
          <w:sz w:val="20"/>
          <w:szCs w:val="20"/>
        </w:rPr>
        <w:t xml:space="preserve"> knowledge </w:t>
      </w:r>
      <w:r w:rsidR="004F4F57" w:rsidRPr="002B2651">
        <w:rPr>
          <w:i/>
          <w:sz w:val="20"/>
          <w:szCs w:val="20"/>
        </w:rPr>
        <w:t>popular</w:t>
      </w:r>
      <w:r w:rsidR="004F4F57" w:rsidRPr="002B2651">
        <w:rPr>
          <w:sz w:val="20"/>
          <w:szCs w:val="20"/>
        </w:rPr>
        <w:t>)</w:t>
      </w:r>
      <w:r w:rsidR="00BF232E" w:rsidRPr="002B2651">
        <w:rPr>
          <w:sz w:val="20"/>
          <w:szCs w:val="20"/>
        </w:rPr>
        <w:t xml:space="preserve">, but </w:t>
      </w:r>
      <w:r w:rsidR="004F4F57" w:rsidRPr="002B2651">
        <w:rPr>
          <w:sz w:val="20"/>
          <w:szCs w:val="20"/>
        </w:rPr>
        <w:t>to actively mobilize</w:t>
      </w:r>
      <w:r w:rsidR="00BF232E" w:rsidRPr="002B2651">
        <w:rPr>
          <w:sz w:val="20"/>
          <w:szCs w:val="20"/>
        </w:rPr>
        <w:t xml:space="preserve"> the public in the direction of knowledge</w:t>
      </w:r>
      <w:r w:rsidR="004F4F57" w:rsidRPr="002B2651">
        <w:rPr>
          <w:sz w:val="20"/>
          <w:szCs w:val="20"/>
        </w:rPr>
        <w:t xml:space="preserve"> (to </w:t>
      </w:r>
      <w:r w:rsidR="00912C49" w:rsidRPr="002B2651">
        <w:rPr>
          <w:sz w:val="20"/>
          <w:szCs w:val="20"/>
        </w:rPr>
        <w:t>give legitimacy to</w:t>
      </w:r>
      <w:r w:rsidR="004F4F57" w:rsidRPr="002B2651">
        <w:rPr>
          <w:sz w:val="20"/>
          <w:szCs w:val="20"/>
        </w:rPr>
        <w:t xml:space="preserve"> </w:t>
      </w:r>
      <w:r w:rsidR="004F4F57" w:rsidRPr="002B2651">
        <w:rPr>
          <w:i/>
          <w:sz w:val="20"/>
          <w:szCs w:val="20"/>
        </w:rPr>
        <w:t>popular</w:t>
      </w:r>
      <w:r w:rsidR="004F4F57" w:rsidRPr="002B2651">
        <w:rPr>
          <w:sz w:val="20"/>
          <w:szCs w:val="20"/>
        </w:rPr>
        <w:t xml:space="preserve"> </w:t>
      </w:r>
      <w:r w:rsidR="004F4F57" w:rsidRPr="002B2651">
        <w:rPr>
          <w:i/>
          <w:sz w:val="20"/>
          <w:szCs w:val="20"/>
        </w:rPr>
        <w:t>knowledge</w:t>
      </w:r>
      <w:r w:rsidR="004F4F57" w:rsidRPr="002B2651">
        <w:rPr>
          <w:sz w:val="20"/>
          <w:szCs w:val="20"/>
        </w:rPr>
        <w:t>) (Benjamin 2014, 369-371).</w:t>
      </w:r>
      <w:proofErr w:type="gramEnd"/>
      <w:r w:rsidR="004F4F57" w:rsidRPr="002B2651">
        <w:rPr>
          <w:sz w:val="20"/>
          <w:szCs w:val="20"/>
        </w:rPr>
        <w:t xml:space="preserve"> This demands, Benjamin (2014, 369-471)</w:t>
      </w:r>
      <w:r w:rsidR="00912C49" w:rsidRPr="002B2651">
        <w:rPr>
          <w:sz w:val="20"/>
          <w:szCs w:val="20"/>
        </w:rPr>
        <w:t xml:space="preserve"> insists,</w:t>
      </w:r>
      <w:r w:rsidR="004F4F57" w:rsidRPr="002B2651">
        <w:rPr>
          <w:sz w:val="20"/>
          <w:szCs w:val="20"/>
        </w:rPr>
        <w:t xml:space="preserve"> a total transformation and rearrangement of the material in order to convince the wider public that their interests possess objective value for the material itself and their questions call for new scholarly findings. In establishing ‘rigorous new forms’ of dissemination, that encourage</w:t>
      </w:r>
      <w:r w:rsidR="00912C49" w:rsidRPr="002B2651">
        <w:rPr>
          <w:sz w:val="20"/>
          <w:szCs w:val="20"/>
        </w:rPr>
        <w:t xml:space="preserve"> what he calls</w:t>
      </w:r>
      <w:r w:rsidR="004F4F57" w:rsidRPr="002B2651">
        <w:rPr>
          <w:sz w:val="20"/>
          <w:szCs w:val="20"/>
        </w:rPr>
        <w:t xml:space="preserve"> a more enterprising form of research and a </w:t>
      </w:r>
      <w:r w:rsidR="001722CB">
        <w:rPr>
          <w:sz w:val="20"/>
          <w:szCs w:val="20"/>
        </w:rPr>
        <w:t>‘</w:t>
      </w:r>
      <w:r w:rsidR="004F4F57" w:rsidRPr="002B2651">
        <w:rPr>
          <w:sz w:val="20"/>
          <w:szCs w:val="20"/>
        </w:rPr>
        <w:t>less banal</w:t>
      </w:r>
      <w:r w:rsidR="001722CB">
        <w:rPr>
          <w:sz w:val="20"/>
          <w:szCs w:val="20"/>
        </w:rPr>
        <w:t>, more considered’</w:t>
      </w:r>
      <w:r w:rsidR="004F4F57" w:rsidRPr="002B2651">
        <w:rPr>
          <w:sz w:val="20"/>
          <w:szCs w:val="20"/>
        </w:rPr>
        <w:t xml:space="preserve"> form of learning, </w:t>
      </w:r>
      <w:r w:rsidR="001F796E" w:rsidRPr="002B2651">
        <w:rPr>
          <w:sz w:val="20"/>
          <w:szCs w:val="20"/>
        </w:rPr>
        <w:t xml:space="preserve">both </w:t>
      </w:r>
      <w:r w:rsidR="004F4F57" w:rsidRPr="002B2651">
        <w:rPr>
          <w:sz w:val="20"/>
          <w:szCs w:val="20"/>
        </w:rPr>
        <w:t xml:space="preserve">the content </w:t>
      </w:r>
      <w:r w:rsidR="001F796E" w:rsidRPr="002B2651">
        <w:rPr>
          <w:sz w:val="20"/>
          <w:szCs w:val="20"/>
        </w:rPr>
        <w:t xml:space="preserve">or substance </w:t>
      </w:r>
      <w:r w:rsidR="004F4F57" w:rsidRPr="002B2651">
        <w:rPr>
          <w:sz w:val="20"/>
          <w:szCs w:val="20"/>
        </w:rPr>
        <w:t xml:space="preserve">of knowledge </w:t>
      </w:r>
      <w:r w:rsidR="001F796E" w:rsidRPr="002B2651">
        <w:rPr>
          <w:sz w:val="20"/>
          <w:szCs w:val="20"/>
        </w:rPr>
        <w:t xml:space="preserve">and the pursuit of knowledge </w:t>
      </w:r>
      <w:r w:rsidR="004F4F57" w:rsidRPr="002B2651">
        <w:rPr>
          <w:sz w:val="20"/>
          <w:szCs w:val="20"/>
        </w:rPr>
        <w:t>itself</w:t>
      </w:r>
      <w:r w:rsidR="001F796E" w:rsidRPr="002B2651">
        <w:rPr>
          <w:sz w:val="20"/>
          <w:szCs w:val="20"/>
        </w:rPr>
        <w:t xml:space="preserve"> become</w:t>
      </w:r>
      <w:r w:rsidR="004F4F57" w:rsidRPr="002B2651">
        <w:rPr>
          <w:sz w:val="20"/>
          <w:szCs w:val="20"/>
        </w:rPr>
        <w:t xml:space="preserve"> </w:t>
      </w:r>
      <w:r w:rsidR="00912C49" w:rsidRPr="002B2651">
        <w:rPr>
          <w:sz w:val="20"/>
          <w:szCs w:val="20"/>
        </w:rPr>
        <w:t xml:space="preserve">radically </w:t>
      </w:r>
      <w:r w:rsidR="004F4F57" w:rsidRPr="002B2651">
        <w:rPr>
          <w:sz w:val="20"/>
          <w:szCs w:val="20"/>
        </w:rPr>
        <w:t>transformed (Benjamin 1999, 419; 2014, 369</w:t>
      </w:r>
      <w:r w:rsidR="001F796E" w:rsidRPr="002B2651">
        <w:rPr>
          <w:sz w:val="20"/>
          <w:szCs w:val="20"/>
        </w:rPr>
        <w:t>-370</w:t>
      </w:r>
      <w:r w:rsidR="004F4F57" w:rsidRPr="002B2651">
        <w:rPr>
          <w:sz w:val="20"/>
          <w:szCs w:val="20"/>
        </w:rPr>
        <w:t>).</w:t>
      </w:r>
      <w:r w:rsidR="001F796E" w:rsidRPr="002B2651">
        <w:rPr>
          <w:sz w:val="20"/>
          <w:szCs w:val="20"/>
        </w:rPr>
        <w:t xml:space="preserve"> </w:t>
      </w:r>
    </w:p>
    <w:p w14:paraId="1B2FA330" w14:textId="77777777" w:rsidR="001F796E" w:rsidRPr="002B2651" w:rsidRDefault="001F796E" w:rsidP="001F796E">
      <w:pPr>
        <w:autoSpaceDE w:val="0"/>
        <w:autoSpaceDN w:val="0"/>
        <w:adjustRightInd w:val="0"/>
        <w:spacing w:line="480" w:lineRule="auto"/>
        <w:rPr>
          <w:sz w:val="20"/>
          <w:szCs w:val="20"/>
        </w:rPr>
      </w:pPr>
    </w:p>
    <w:p w14:paraId="4D53CEAC" w14:textId="1D88363A" w:rsidR="004D797D" w:rsidRPr="002B2651" w:rsidRDefault="00DE2718" w:rsidP="00EF4040">
      <w:pPr>
        <w:autoSpaceDE w:val="0"/>
        <w:autoSpaceDN w:val="0"/>
        <w:adjustRightInd w:val="0"/>
        <w:spacing w:line="480" w:lineRule="auto"/>
        <w:rPr>
          <w:sz w:val="20"/>
          <w:szCs w:val="20"/>
        </w:rPr>
      </w:pPr>
      <w:r>
        <w:rPr>
          <w:sz w:val="20"/>
          <w:szCs w:val="20"/>
        </w:rPr>
        <w:t>Within this context, t</w:t>
      </w:r>
      <w:r w:rsidR="0016266C" w:rsidRPr="002B2651">
        <w:rPr>
          <w:sz w:val="20"/>
          <w:szCs w:val="20"/>
        </w:rPr>
        <w:t xml:space="preserve">he </w:t>
      </w:r>
      <w:proofErr w:type="spellStart"/>
      <w:r w:rsidR="0016266C" w:rsidRPr="002B2651">
        <w:rPr>
          <w:sz w:val="20"/>
          <w:szCs w:val="20"/>
        </w:rPr>
        <w:t>massification</w:t>
      </w:r>
      <w:proofErr w:type="spellEnd"/>
      <w:r w:rsidR="0016266C" w:rsidRPr="002B2651">
        <w:rPr>
          <w:sz w:val="20"/>
          <w:szCs w:val="20"/>
        </w:rPr>
        <w:t xml:space="preserve"> of contemporary higher education</w:t>
      </w:r>
      <w:r w:rsidR="00C868B2" w:rsidRPr="002B2651">
        <w:rPr>
          <w:sz w:val="20"/>
          <w:szCs w:val="20"/>
        </w:rPr>
        <w:t>, and the increasing significance attached to teaching and teaching excellence</w:t>
      </w:r>
      <w:r w:rsidR="00912C49" w:rsidRPr="002B2651">
        <w:rPr>
          <w:sz w:val="20"/>
          <w:szCs w:val="20"/>
        </w:rPr>
        <w:t xml:space="preserve"> to an increasingly broad and diverse student body</w:t>
      </w:r>
      <w:r w:rsidR="00C868B2" w:rsidRPr="002B2651">
        <w:rPr>
          <w:sz w:val="20"/>
          <w:szCs w:val="20"/>
        </w:rPr>
        <w:t>,</w:t>
      </w:r>
      <w:r w:rsidR="0016266C" w:rsidRPr="002B2651">
        <w:rPr>
          <w:sz w:val="20"/>
          <w:szCs w:val="20"/>
        </w:rPr>
        <w:t xml:space="preserve"> t</w:t>
      </w:r>
      <w:r w:rsidR="00C868B2" w:rsidRPr="002B2651">
        <w:rPr>
          <w:sz w:val="20"/>
          <w:szCs w:val="20"/>
        </w:rPr>
        <w:t>herefore pose new demands upon</w:t>
      </w:r>
      <w:r w:rsidR="0016266C" w:rsidRPr="002B2651">
        <w:rPr>
          <w:sz w:val="20"/>
          <w:szCs w:val="20"/>
        </w:rPr>
        <w:t xml:space="preserve"> teaching</w:t>
      </w:r>
      <w:r w:rsidR="00C868B2" w:rsidRPr="002B2651">
        <w:rPr>
          <w:sz w:val="20"/>
          <w:szCs w:val="20"/>
        </w:rPr>
        <w:t xml:space="preserve"> that simultaneous present </w:t>
      </w:r>
      <w:r w:rsidR="0016266C" w:rsidRPr="002B2651">
        <w:rPr>
          <w:sz w:val="20"/>
          <w:szCs w:val="20"/>
        </w:rPr>
        <w:t xml:space="preserve">new possibilities for research. </w:t>
      </w:r>
      <w:r w:rsidR="00C868B2" w:rsidRPr="002B2651">
        <w:rPr>
          <w:sz w:val="20"/>
          <w:szCs w:val="20"/>
        </w:rPr>
        <w:t xml:space="preserve">This gives rise a </w:t>
      </w:r>
      <w:r w:rsidR="00C868B2" w:rsidRPr="002B2651">
        <w:rPr>
          <w:i/>
          <w:sz w:val="20"/>
          <w:szCs w:val="20"/>
        </w:rPr>
        <w:t>transdisciplinary</w:t>
      </w:r>
      <w:r w:rsidR="00C868B2" w:rsidRPr="002B2651">
        <w:rPr>
          <w:sz w:val="20"/>
          <w:szCs w:val="20"/>
        </w:rPr>
        <w:t xml:space="preserve"> impulse </w:t>
      </w:r>
      <w:r w:rsidR="0016266C" w:rsidRPr="002B2651">
        <w:rPr>
          <w:sz w:val="20"/>
          <w:szCs w:val="20"/>
        </w:rPr>
        <w:t>that has the potential to create new fields of research and to radically transform and merge existing disciplines.</w:t>
      </w:r>
      <w:r w:rsidR="004D797D" w:rsidRPr="002B2651">
        <w:rPr>
          <w:rStyle w:val="FootnoteReference"/>
          <w:sz w:val="20"/>
          <w:szCs w:val="20"/>
        </w:rPr>
        <w:footnoteReference w:id="11"/>
      </w:r>
      <w:r w:rsidR="00C868B2" w:rsidRPr="002B2651">
        <w:rPr>
          <w:sz w:val="20"/>
          <w:szCs w:val="20"/>
        </w:rPr>
        <w:t xml:space="preserve"> </w:t>
      </w:r>
      <w:proofErr w:type="gramStart"/>
      <w:r w:rsidR="00DC638D" w:rsidRPr="002B2651">
        <w:rPr>
          <w:sz w:val="20"/>
          <w:szCs w:val="20"/>
        </w:rPr>
        <w:t>Peter Osborne (2010</w:t>
      </w:r>
      <w:r w:rsidR="00537BD8" w:rsidRPr="002B2651">
        <w:rPr>
          <w:sz w:val="20"/>
          <w:szCs w:val="20"/>
        </w:rPr>
        <w:t>)</w:t>
      </w:r>
      <w:r w:rsidR="0016266C" w:rsidRPr="002B2651">
        <w:rPr>
          <w:sz w:val="20"/>
          <w:szCs w:val="20"/>
        </w:rPr>
        <w:t>, for example,</w:t>
      </w:r>
      <w:r w:rsidR="00537BD8" w:rsidRPr="002B2651">
        <w:rPr>
          <w:sz w:val="20"/>
          <w:szCs w:val="20"/>
        </w:rPr>
        <w:t xml:space="preserve"> has pointed out that it was often</w:t>
      </w:r>
      <w:r w:rsidR="00EF4040" w:rsidRPr="002B2651">
        <w:rPr>
          <w:sz w:val="20"/>
          <w:szCs w:val="20"/>
        </w:rPr>
        <w:t xml:space="preserve"> in the old</w:t>
      </w:r>
      <w:r w:rsidR="00537BD8" w:rsidRPr="002B2651">
        <w:rPr>
          <w:sz w:val="20"/>
          <w:szCs w:val="20"/>
        </w:rPr>
        <w:t xml:space="preserve"> polytechnics</w:t>
      </w:r>
      <w:r w:rsidR="00EF4040" w:rsidRPr="002B2651">
        <w:rPr>
          <w:sz w:val="20"/>
          <w:szCs w:val="20"/>
        </w:rPr>
        <w:t xml:space="preserve"> and what became the new universities, with their</w:t>
      </w:r>
      <w:r w:rsidR="00537BD8" w:rsidRPr="002B2651">
        <w:rPr>
          <w:sz w:val="20"/>
          <w:szCs w:val="20"/>
        </w:rPr>
        <w:t xml:space="preserve"> significantly distinct student demographic, that creative and innovative </w:t>
      </w:r>
      <w:r w:rsidR="00EF4040" w:rsidRPr="002B2651">
        <w:rPr>
          <w:sz w:val="20"/>
          <w:szCs w:val="20"/>
        </w:rPr>
        <w:t xml:space="preserve">developments in the </w:t>
      </w:r>
      <w:r w:rsidR="00537BD8" w:rsidRPr="002B2651">
        <w:rPr>
          <w:sz w:val="20"/>
          <w:szCs w:val="20"/>
        </w:rPr>
        <w:t>research disciplines developed, and ‘new theoretical paradigms in the humanities – like Cultural Studies, for example – developed</w:t>
      </w:r>
      <w:r w:rsidR="0016266C" w:rsidRPr="002B2651">
        <w:rPr>
          <w:sz w:val="20"/>
          <w:szCs w:val="20"/>
        </w:rPr>
        <w:t>’ (</w:t>
      </w:r>
      <w:r w:rsidR="005239B9" w:rsidRPr="002B2651">
        <w:rPr>
          <w:sz w:val="20"/>
          <w:szCs w:val="20"/>
        </w:rPr>
        <w:t>we might also include the development of Education Studies</w:t>
      </w:r>
      <w:r w:rsidR="0016266C" w:rsidRPr="002B2651">
        <w:rPr>
          <w:sz w:val="20"/>
          <w:szCs w:val="20"/>
        </w:rPr>
        <w:t xml:space="preserve"> itself</w:t>
      </w:r>
      <w:r w:rsidR="005239B9" w:rsidRPr="002B2651">
        <w:rPr>
          <w:sz w:val="20"/>
          <w:szCs w:val="20"/>
        </w:rPr>
        <w:t xml:space="preserve"> </w:t>
      </w:r>
      <w:r w:rsidR="00D6793F" w:rsidRPr="002B2651">
        <w:rPr>
          <w:sz w:val="20"/>
          <w:szCs w:val="20"/>
        </w:rPr>
        <w:t>as part of the transformation of teacher training following the expansio</w:t>
      </w:r>
      <w:r w:rsidR="009C140A" w:rsidRPr="002B2651">
        <w:rPr>
          <w:sz w:val="20"/>
          <w:szCs w:val="20"/>
        </w:rPr>
        <w:t>n of education after the Second World War</w:t>
      </w:r>
      <w:r w:rsidR="0016266C" w:rsidRPr="002B2651">
        <w:rPr>
          <w:sz w:val="20"/>
          <w:szCs w:val="20"/>
        </w:rPr>
        <w:t>)</w:t>
      </w:r>
      <w:r w:rsidR="009C140A" w:rsidRPr="002B2651">
        <w:rPr>
          <w:sz w:val="20"/>
          <w:szCs w:val="20"/>
        </w:rPr>
        <w:t>.</w:t>
      </w:r>
      <w:proofErr w:type="gramEnd"/>
      <w:r w:rsidR="0016266C" w:rsidRPr="002B2651">
        <w:rPr>
          <w:sz w:val="20"/>
          <w:szCs w:val="20"/>
        </w:rPr>
        <w:t xml:space="preserve"> </w:t>
      </w:r>
    </w:p>
    <w:p w14:paraId="00517A4E" w14:textId="77777777" w:rsidR="00574624" w:rsidRPr="002B2651" w:rsidRDefault="00574624" w:rsidP="00AE4E8D">
      <w:pPr>
        <w:autoSpaceDE w:val="0"/>
        <w:autoSpaceDN w:val="0"/>
        <w:adjustRightInd w:val="0"/>
        <w:spacing w:line="480" w:lineRule="auto"/>
        <w:rPr>
          <w:sz w:val="20"/>
          <w:szCs w:val="20"/>
        </w:rPr>
      </w:pPr>
    </w:p>
    <w:p w14:paraId="733DD6BC" w14:textId="48751DD9" w:rsidR="00FB242A" w:rsidRPr="002B2651" w:rsidRDefault="00912C49" w:rsidP="00FB242A">
      <w:pPr>
        <w:autoSpaceDE w:val="0"/>
        <w:autoSpaceDN w:val="0"/>
        <w:adjustRightInd w:val="0"/>
        <w:spacing w:line="480" w:lineRule="auto"/>
        <w:rPr>
          <w:sz w:val="20"/>
          <w:szCs w:val="20"/>
        </w:rPr>
      </w:pPr>
      <w:r w:rsidRPr="002B2651">
        <w:rPr>
          <w:sz w:val="20"/>
          <w:szCs w:val="20"/>
        </w:rPr>
        <w:t>To conclude, t</w:t>
      </w:r>
      <w:r w:rsidR="00AE4E8D" w:rsidRPr="002B2651">
        <w:rPr>
          <w:sz w:val="20"/>
          <w:szCs w:val="20"/>
        </w:rPr>
        <w:t>he contours of a notion of teaching</w:t>
      </w:r>
      <w:r w:rsidR="00AE4E8D" w:rsidRPr="002B2651">
        <w:rPr>
          <w:i/>
          <w:sz w:val="20"/>
          <w:szCs w:val="20"/>
        </w:rPr>
        <w:t>-</w:t>
      </w:r>
      <w:r w:rsidR="00AE4E8D" w:rsidRPr="002B2651">
        <w:rPr>
          <w:sz w:val="20"/>
          <w:szCs w:val="20"/>
        </w:rPr>
        <w:t xml:space="preserve">based, teaching-informed and teaching-led research </w:t>
      </w:r>
      <w:r w:rsidR="00A117F4" w:rsidRPr="002B2651">
        <w:rPr>
          <w:sz w:val="20"/>
          <w:szCs w:val="20"/>
        </w:rPr>
        <w:t xml:space="preserve">outlined </w:t>
      </w:r>
      <w:r w:rsidR="00574624" w:rsidRPr="002B2651">
        <w:rPr>
          <w:sz w:val="20"/>
          <w:szCs w:val="20"/>
        </w:rPr>
        <w:t xml:space="preserve">here </w:t>
      </w:r>
      <w:proofErr w:type="gramStart"/>
      <w:r w:rsidR="00450E75" w:rsidRPr="002B2651">
        <w:rPr>
          <w:sz w:val="20"/>
          <w:szCs w:val="20"/>
        </w:rPr>
        <w:t>are i</w:t>
      </w:r>
      <w:r w:rsidR="00AE4E8D" w:rsidRPr="002B2651">
        <w:rPr>
          <w:sz w:val="20"/>
          <w:szCs w:val="20"/>
        </w:rPr>
        <w:t>ntended</w:t>
      </w:r>
      <w:proofErr w:type="gramEnd"/>
      <w:r w:rsidR="00AE4E8D" w:rsidRPr="002B2651">
        <w:rPr>
          <w:sz w:val="20"/>
          <w:szCs w:val="20"/>
        </w:rPr>
        <w:t xml:space="preserve"> to critically intervene within the educational discourse of teaching excellence and research-led </w:t>
      </w:r>
      <w:r w:rsidR="00AE4E8D" w:rsidRPr="002B2651">
        <w:rPr>
          <w:sz w:val="20"/>
          <w:szCs w:val="20"/>
        </w:rPr>
        <w:lastRenderedPageBreak/>
        <w:t xml:space="preserve">teaching in order to reimagine the teaching-research nexus anew. </w:t>
      </w:r>
      <w:proofErr w:type="gramStart"/>
      <w:r w:rsidR="00AE4E8D" w:rsidRPr="002B2651">
        <w:rPr>
          <w:sz w:val="20"/>
          <w:szCs w:val="20"/>
        </w:rPr>
        <w:t>It does not insist that every academic involved in</w:t>
      </w:r>
      <w:r w:rsidR="00066DBA" w:rsidRPr="002B2651">
        <w:rPr>
          <w:sz w:val="20"/>
          <w:szCs w:val="20"/>
        </w:rPr>
        <w:t xml:space="preserve"> teaching must be a researcher</w:t>
      </w:r>
      <w:r w:rsidR="00AE4E8D" w:rsidRPr="002B2651">
        <w:rPr>
          <w:sz w:val="20"/>
          <w:szCs w:val="20"/>
        </w:rPr>
        <w:t xml:space="preserve"> but</w:t>
      </w:r>
      <w:r w:rsidRPr="002B2651">
        <w:rPr>
          <w:sz w:val="20"/>
          <w:szCs w:val="20"/>
        </w:rPr>
        <w:t>,</w:t>
      </w:r>
      <w:r w:rsidR="00AE4E8D" w:rsidRPr="002B2651">
        <w:rPr>
          <w:sz w:val="20"/>
          <w:szCs w:val="20"/>
        </w:rPr>
        <w:t xml:space="preserve"> under conditions in which more and more academics are required to be or have a personal interest in becoming researchers, it seeks</w:t>
      </w:r>
      <w:r w:rsidR="00574624" w:rsidRPr="002B2651">
        <w:rPr>
          <w:sz w:val="20"/>
          <w:szCs w:val="20"/>
        </w:rPr>
        <w:t xml:space="preserve"> to find</w:t>
      </w:r>
      <w:r w:rsidR="00AE4E8D" w:rsidRPr="002B2651">
        <w:rPr>
          <w:sz w:val="20"/>
          <w:szCs w:val="20"/>
        </w:rPr>
        <w:t xml:space="preserve"> way</w:t>
      </w:r>
      <w:r w:rsidR="00574624" w:rsidRPr="002B2651">
        <w:rPr>
          <w:sz w:val="20"/>
          <w:szCs w:val="20"/>
        </w:rPr>
        <w:t>s</w:t>
      </w:r>
      <w:r w:rsidR="00AE4E8D" w:rsidRPr="002B2651">
        <w:rPr>
          <w:sz w:val="20"/>
          <w:szCs w:val="20"/>
        </w:rPr>
        <w:t xml:space="preserve"> to </w:t>
      </w:r>
      <w:r w:rsidR="00450E75" w:rsidRPr="002B2651">
        <w:rPr>
          <w:sz w:val="20"/>
          <w:szCs w:val="20"/>
        </w:rPr>
        <w:t>rethink</w:t>
      </w:r>
      <w:r w:rsidR="00AE4E8D" w:rsidRPr="002B2651">
        <w:rPr>
          <w:sz w:val="20"/>
          <w:szCs w:val="20"/>
        </w:rPr>
        <w:t xml:space="preserve"> how the knowledge that constitutes it might be creatively or indeed destructi</w:t>
      </w:r>
      <w:r w:rsidR="00574624" w:rsidRPr="002B2651">
        <w:rPr>
          <w:sz w:val="20"/>
          <w:szCs w:val="20"/>
        </w:rPr>
        <w:t>vely transformed by the reflexive labour of teaching and learning.</w:t>
      </w:r>
      <w:proofErr w:type="gramEnd"/>
    </w:p>
    <w:p w14:paraId="62645F74" w14:textId="77777777" w:rsidR="00FB242A" w:rsidRPr="002B2651" w:rsidRDefault="00FB242A" w:rsidP="00FB242A">
      <w:pPr>
        <w:autoSpaceDE w:val="0"/>
        <w:autoSpaceDN w:val="0"/>
        <w:adjustRightInd w:val="0"/>
        <w:spacing w:line="480" w:lineRule="auto"/>
        <w:rPr>
          <w:sz w:val="20"/>
          <w:szCs w:val="20"/>
        </w:rPr>
      </w:pPr>
    </w:p>
    <w:p w14:paraId="2D2D55D1" w14:textId="2663EC13" w:rsidR="00A117F4" w:rsidRPr="002B2651" w:rsidRDefault="00C10CAB" w:rsidP="00FB242A">
      <w:pPr>
        <w:autoSpaceDE w:val="0"/>
        <w:autoSpaceDN w:val="0"/>
        <w:adjustRightInd w:val="0"/>
        <w:spacing w:line="480" w:lineRule="auto"/>
        <w:rPr>
          <w:sz w:val="20"/>
          <w:szCs w:val="20"/>
          <w:lang w:val="en"/>
        </w:rPr>
      </w:pPr>
      <w:r w:rsidRPr="002B2651">
        <w:rPr>
          <w:sz w:val="20"/>
          <w:szCs w:val="20"/>
        </w:rPr>
        <w:t xml:space="preserve">Such a perspective suggests one of the positive learning outcomes of teaching </w:t>
      </w:r>
      <w:proofErr w:type="gramStart"/>
      <w:r w:rsidRPr="002B2651">
        <w:rPr>
          <w:sz w:val="20"/>
          <w:szCs w:val="20"/>
        </w:rPr>
        <w:t>might be evaluated</w:t>
      </w:r>
      <w:proofErr w:type="gramEnd"/>
      <w:r w:rsidRPr="002B2651">
        <w:rPr>
          <w:sz w:val="20"/>
          <w:szCs w:val="20"/>
        </w:rPr>
        <w:t xml:space="preserve"> in terms that have no intrinsic relationship to the productivity or human capital of students who are learning. </w:t>
      </w:r>
      <w:proofErr w:type="gramStart"/>
      <w:r w:rsidR="00A117F4" w:rsidRPr="002B2651">
        <w:rPr>
          <w:sz w:val="20"/>
          <w:szCs w:val="20"/>
        </w:rPr>
        <w:t>If t</w:t>
      </w:r>
      <w:r w:rsidR="00A117F4" w:rsidRPr="002B2651">
        <w:rPr>
          <w:sz w:val="20"/>
          <w:szCs w:val="20"/>
          <w:lang w:val="en"/>
        </w:rPr>
        <w:t>his leaves such a conception open to accusations of either a disregard for quality teaching and student learning outcomes or even the exploitation of students themselves, we should recall the extent to which existing conceptions of research-informed teaching are driven primarily by the interests of elite universities, concerned with ensuring their own competitive advantage, and the needs of a learning society encouraged by governments anxious to increase economic productivity, as well as the extent to which an increasing focus on teaching excellence may be irrelevant to, or even work to the detriment of, dimensions of quality in education.</w:t>
      </w:r>
      <w:proofErr w:type="gramEnd"/>
    </w:p>
    <w:p w14:paraId="3FAEDB14" w14:textId="77777777" w:rsidR="00FB242A" w:rsidRPr="002B2651" w:rsidRDefault="00FB242A" w:rsidP="00FB242A">
      <w:pPr>
        <w:autoSpaceDE w:val="0"/>
        <w:autoSpaceDN w:val="0"/>
        <w:adjustRightInd w:val="0"/>
        <w:spacing w:line="480" w:lineRule="auto"/>
        <w:rPr>
          <w:sz w:val="20"/>
          <w:szCs w:val="20"/>
          <w:lang w:val="en"/>
        </w:rPr>
      </w:pPr>
    </w:p>
    <w:p w14:paraId="53D22BAC" w14:textId="763E7D31" w:rsidR="003603E1" w:rsidRPr="002B2651" w:rsidRDefault="00C10CAB" w:rsidP="00A117F4">
      <w:pPr>
        <w:spacing w:after="360" w:line="480" w:lineRule="auto"/>
        <w:rPr>
          <w:sz w:val="20"/>
          <w:szCs w:val="20"/>
        </w:rPr>
      </w:pPr>
      <w:proofErr w:type="gramStart"/>
      <w:r w:rsidRPr="002B2651">
        <w:rPr>
          <w:sz w:val="20"/>
          <w:szCs w:val="20"/>
          <w:lang w:val="en"/>
        </w:rPr>
        <w:t xml:space="preserve">If students are nonetheless still integrated into research activity, this </w:t>
      </w:r>
      <w:r w:rsidR="002E1054">
        <w:rPr>
          <w:sz w:val="20"/>
          <w:szCs w:val="20"/>
          <w:lang w:val="en"/>
        </w:rPr>
        <w:t>is</w:t>
      </w:r>
      <w:r w:rsidRPr="002B2651">
        <w:rPr>
          <w:sz w:val="20"/>
          <w:szCs w:val="20"/>
          <w:lang w:val="en"/>
        </w:rPr>
        <w:t xml:space="preserve"> not</w:t>
      </w:r>
      <w:r w:rsidR="002E1054">
        <w:rPr>
          <w:sz w:val="20"/>
          <w:szCs w:val="20"/>
          <w:lang w:val="en"/>
        </w:rPr>
        <w:t xml:space="preserve"> necessarily</w:t>
      </w:r>
      <w:r w:rsidRPr="002B2651">
        <w:rPr>
          <w:sz w:val="20"/>
          <w:szCs w:val="20"/>
          <w:lang w:val="en"/>
        </w:rPr>
        <w:t xml:space="preserve"> on the model of them </w:t>
      </w:r>
      <w:r w:rsidRPr="002B2651">
        <w:rPr>
          <w:i/>
          <w:sz w:val="20"/>
          <w:szCs w:val="20"/>
          <w:lang w:val="en"/>
        </w:rPr>
        <w:t xml:space="preserve">becoming </w:t>
      </w:r>
      <w:r w:rsidR="002E1054">
        <w:rPr>
          <w:sz w:val="20"/>
          <w:szCs w:val="20"/>
          <w:lang w:val="en"/>
        </w:rPr>
        <w:t xml:space="preserve">traditional </w:t>
      </w:r>
      <w:r w:rsidRPr="002B2651">
        <w:rPr>
          <w:sz w:val="20"/>
          <w:szCs w:val="20"/>
          <w:lang w:val="en"/>
        </w:rPr>
        <w:t xml:space="preserve">researchers, in ways that emphasize their higher level productivity in terms of value-added learning, nor on a relationship between research and teaching that evaluates the benefits of this integration in terms of outcomes that could be measured by existing proxies for teaching excellence (nor, indeed, given the focus on the </w:t>
      </w:r>
      <w:r w:rsidRPr="002B2651">
        <w:rPr>
          <w:i/>
          <w:sz w:val="20"/>
          <w:szCs w:val="20"/>
          <w:lang w:val="en"/>
        </w:rPr>
        <w:t xml:space="preserve">form </w:t>
      </w:r>
      <w:r w:rsidRPr="002B2651">
        <w:rPr>
          <w:sz w:val="20"/>
          <w:szCs w:val="20"/>
          <w:lang w:val="en"/>
        </w:rPr>
        <w:t xml:space="preserve">or even </w:t>
      </w:r>
      <w:r w:rsidRPr="002B2651">
        <w:rPr>
          <w:i/>
          <w:sz w:val="20"/>
          <w:szCs w:val="20"/>
          <w:lang w:val="en"/>
        </w:rPr>
        <w:t xml:space="preserve">deforming </w:t>
      </w:r>
      <w:r w:rsidRPr="002B2651">
        <w:rPr>
          <w:sz w:val="20"/>
          <w:szCs w:val="20"/>
          <w:lang w:val="en"/>
        </w:rPr>
        <w:t xml:space="preserve">rather than </w:t>
      </w:r>
      <w:r w:rsidRPr="002B2651">
        <w:rPr>
          <w:i/>
          <w:sz w:val="20"/>
          <w:szCs w:val="20"/>
          <w:lang w:val="en"/>
        </w:rPr>
        <w:t>content</w:t>
      </w:r>
      <w:r w:rsidRPr="002B2651">
        <w:rPr>
          <w:sz w:val="20"/>
          <w:szCs w:val="20"/>
          <w:lang w:val="en"/>
        </w:rPr>
        <w:t xml:space="preserve"> of research, existing proxies for research excellence, which are likely to fall foul of disciplinary subject areas).</w:t>
      </w:r>
      <w:proofErr w:type="gramEnd"/>
      <w:r w:rsidRPr="002B2651">
        <w:rPr>
          <w:sz w:val="20"/>
          <w:szCs w:val="20"/>
          <w:lang w:val="en"/>
        </w:rPr>
        <w:t xml:space="preserve"> </w:t>
      </w:r>
      <w:r w:rsidR="00FB242A" w:rsidRPr="002B2651">
        <w:rPr>
          <w:sz w:val="20"/>
          <w:szCs w:val="20"/>
        </w:rPr>
        <w:t xml:space="preserve">A growing national and institutional policy focus on teaching, and anxiety over the student experience, presents the chance for new narratives of investment in learning and teaching to develop beyond the hegemonic reach of research excellence and research-intensive universities. </w:t>
      </w:r>
      <w:r w:rsidR="00A117F4" w:rsidRPr="002B2651">
        <w:rPr>
          <w:sz w:val="20"/>
          <w:szCs w:val="20"/>
          <w:lang w:val="en"/>
        </w:rPr>
        <w:t>F</w:t>
      </w:r>
      <w:proofErr w:type="spellStart"/>
      <w:r w:rsidR="00A117F4" w:rsidRPr="002B2651">
        <w:rPr>
          <w:sz w:val="20"/>
          <w:szCs w:val="20"/>
        </w:rPr>
        <w:t>rom</w:t>
      </w:r>
      <w:proofErr w:type="spellEnd"/>
      <w:r w:rsidR="00A117F4" w:rsidRPr="002B2651">
        <w:rPr>
          <w:sz w:val="20"/>
          <w:szCs w:val="20"/>
        </w:rPr>
        <w:t xml:space="preserve"> this perspective, the central problem of the Teaching Excellence Framework – that it </w:t>
      </w:r>
      <w:proofErr w:type="gramStart"/>
      <w:r w:rsidR="00A117F4" w:rsidRPr="002B2651">
        <w:rPr>
          <w:sz w:val="20"/>
          <w:szCs w:val="20"/>
        </w:rPr>
        <w:t>doesn’t</w:t>
      </w:r>
      <w:proofErr w:type="gramEnd"/>
      <w:r w:rsidR="00A117F4" w:rsidRPr="002B2651">
        <w:rPr>
          <w:sz w:val="20"/>
          <w:szCs w:val="20"/>
        </w:rPr>
        <w:t xml:space="preserve"> evaluate quality teaching – might be reimagined as a tact</w:t>
      </w:r>
      <w:r w:rsidR="00574624" w:rsidRPr="002B2651">
        <w:rPr>
          <w:sz w:val="20"/>
          <w:szCs w:val="20"/>
        </w:rPr>
        <w:t xml:space="preserve">ical opportunity for students, teachers and researchers </w:t>
      </w:r>
      <w:r w:rsidR="00FB242A" w:rsidRPr="002B2651">
        <w:rPr>
          <w:sz w:val="20"/>
          <w:szCs w:val="20"/>
        </w:rPr>
        <w:t>alike.</w:t>
      </w:r>
    </w:p>
    <w:p w14:paraId="474A95D6" w14:textId="77777777" w:rsidR="00EF5844" w:rsidRPr="002B2651" w:rsidRDefault="003671F8" w:rsidP="00EF5844">
      <w:pPr>
        <w:spacing w:after="360" w:line="480" w:lineRule="auto"/>
        <w:rPr>
          <w:b/>
          <w:sz w:val="22"/>
          <w:szCs w:val="22"/>
        </w:rPr>
      </w:pPr>
      <w:r w:rsidRPr="002B2651">
        <w:rPr>
          <w:b/>
          <w:sz w:val="22"/>
          <w:szCs w:val="22"/>
        </w:rPr>
        <w:t>References</w:t>
      </w:r>
    </w:p>
    <w:p w14:paraId="1A98A0CC" w14:textId="4C2E1D86" w:rsidR="003671F8" w:rsidRPr="002B2651" w:rsidRDefault="003671F8" w:rsidP="003671F8">
      <w:pPr>
        <w:pStyle w:val="NormalWeb"/>
        <w:shd w:val="clear" w:color="auto" w:fill="FFFFFF"/>
        <w:textAlignment w:val="baseline"/>
        <w:rPr>
          <w:sz w:val="20"/>
          <w:szCs w:val="20"/>
        </w:rPr>
      </w:pPr>
      <w:r w:rsidRPr="002B2651">
        <w:rPr>
          <w:sz w:val="20"/>
          <w:szCs w:val="20"/>
        </w:rPr>
        <w:t>Becker, Gary S. 1961. Underin</w:t>
      </w:r>
      <w:r w:rsidR="00B309AE" w:rsidRPr="002B2651">
        <w:rPr>
          <w:sz w:val="20"/>
          <w:szCs w:val="20"/>
        </w:rPr>
        <w:t xml:space="preserve">vestment in College Education? </w:t>
      </w:r>
      <w:r w:rsidRPr="002B2651">
        <w:rPr>
          <w:i/>
          <w:sz w:val="20"/>
          <w:szCs w:val="20"/>
        </w:rPr>
        <w:t>The American Economic Review</w:t>
      </w:r>
      <w:r w:rsidR="00A86BEE">
        <w:rPr>
          <w:sz w:val="20"/>
          <w:szCs w:val="20"/>
        </w:rPr>
        <w:t xml:space="preserve"> 50(</w:t>
      </w:r>
      <w:r w:rsidRPr="002B2651">
        <w:rPr>
          <w:sz w:val="20"/>
          <w:szCs w:val="20"/>
        </w:rPr>
        <w:t>2</w:t>
      </w:r>
      <w:r w:rsidR="00A86BEE">
        <w:rPr>
          <w:sz w:val="20"/>
          <w:szCs w:val="20"/>
        </w:rPr>
        <w:t>)</w:t>
      </w:r>
      <w:r w:rsidRPr="002B2651">
        <w:rPr>
          <w:sz w:val="20"/>
          <w:szCs w:val="20"/>
        </w:rPr>
        <w:t xml:space="preserve">: 346-354. </w:t>
      </w:r>
    </w:p>
    <w:p w14:paraId="6C5D7BFC" w14:textId="2435F82B" w:rsidR="003671F8" w:rsidRPr="002B2651" w:rsidRDefault="003671F8" w:rsidP="003671F8">
      <w:pPr>
        <w:pStyle w:val="NormalWeb"/>
        <w:shd w:val="clear" w:color="auto" w:fill="FFFFFF"/>
        <w:textAlignment w:val="baseline"/>
        <w:rPr>
          <w:sz w:val="20"/>
          <w:szCs w:val="20"/>
        </w:rPr>
      </w:pPr>
      <w:r w:rsidRPr="002B2651">
        <w:rPr>
          <w:sz w:val="20"/>
          <w:szCs w:val="20"/>
        </w:rPr>
        <w:lastRenderedPageBreak/>
        <w:t xml:space="preserve">Becker, Gary S. 1962. Investment in Human Capital: A Theoretical Analysis. </w:t>
      </w:r>
      <w:r w:rsidRPr="002B2651">
        <w:rPr>
          <w:i/>
          <w:sz w:val="20"/>
          <w:szCs w:val="20"/>
        </w:rPr>
        <w:t>The Journal of Political Economy</w:t>
      </w:r>
      <w:r w:rsidRPr="002B2651">
        <w:rPr>
          <w:sz w:val="20"/>
          <w:szCs w:val="20"/>
        </w:rPr>
        <w:t>, 70</w:t>
      </w:r>
      <w:r w:rsidR="00A86BEE">
        <w:rPr>
          <w:sz w:val="20"/>
          <w:szCs w:val="20"/>
        </w:rPr>
        <w:t>(5), Issue 2:</w:t>
      </w:r>
      <w:r w:rsidRPr="002B2651">
        <w:rPr>
          <w:sz w:val="20"/>
          <w:szCs w:val="20"/>
        </w:rPr>
        <w:t xml:space="preserve"> 9-49.</w:t>
      </w:r>
    </w:p>
    <w:p w14:paraId="596A767F" w14:textId="034F81DF" w:rsidR="00574624" w:rsidRPr="002B2651" w:rsidRDefault="003671F8" w:rsidP="00574624">
      <w:pPr>
        <w:pStyle w:val="NormalWeb"/>
        <w:shd w:val="clear" w:color="auto" w:fill="FFFFFF"/>
        <w:textAlignment w:val="baseline"/>
        <w:rPr>
          <w:sz w:val="20"/>
          <w:szCs w:val="20"/>
        </w:rPr>
      </w:pPr>
      <w:r w:rsidRPr="002B2651">
        <w:rPr>
          <w:sz w:val="20"/>
          <w:szCs w:val="20"/>
        </w:rPr>
        <w:t xml:space="preserve">Benjamin, Walter. 1999. </w:t>
      </w:r>
      <w:r w:rsidRPr="001722CB">
        <w:rPr>
          <w:i/>
          <w:sz w:val="20"/>
          <w:szCs w:val="20"/>
        </w:rPr>
        <w:t>Sel</w:t>
      </w:r>
      <w:r w:rsidR="001722CB">
        <w:rPr>
          <w:i/>
          <w:sz w:val="20"/>
          <w:szCs w:val="20"/>
        </w:rPr>
        <w:t>ected Writings.</w:t>
      </w:r>
      <w:r w:rsidRPr="001722CB">
        <w:rPr>
          <w:i/>
          <w:sz w:val="20"/>
          <w:szCs w:val="20"/>
        </w:rPr>
        <w:t xml:space="preserve"> Volume 2</w:t>
      </w:r>
      <w:r w:rsidR="001722CB">
        <w:rPr>
          <w:i/>
          <w:sz w:val="20"/>
          <w:szCs w:val="20"/>
        </w:rPr>
        <w:t>: 1927-1934</w:t>
      </w:r>
      <w:r w:rsidRPr="002B2651">
        <w:rPr>
          <w:sz w:val="20"/>
          <w:szCs w:val="20"/>
        </w:rPr>
        <w:t xml:space="preserve">. </w:t>
      </w:r>
      <w:r w:rsidR="001722CB">
        <w:rPr>
          <w:sz w:val="20"/>
          <w:szCs w:val="20"/>
        </w:rPr>
        <w:t xml:space="preserve">Cambridge </w:t>
      </w:r>
      <w:proofErr w:type="gramStart"/>
      <w:r w:rsidR="001722CB">
        <w:rPr>
          <w:sz w:val="20"/>
          <w:szCs w:val="20"/>
        </w:rPr>
        <w:t>MA.:</w:t>
      </w:r>
      <w:proofErr w:type="gramEnd"/>
      <w:r w:rsidR="001722CB">
        <w:rPr>
          <w:sz w:val="20"/>
          <w:szCs w:val="20"/>
        </w:rPr>
        <w:t xml:space="preserve"> Harvard University Press.</w:t>
      </w:r>
    </w:p>
    <w:p w14:paraId="1EF544F2" w14:textId="53934F7A" w:rsidR="00574624" w:rsidRPr="002B2651" w:rsidRDefault="00574624" w:rsidP="003671F8">
      <w:pPr>
        <w:pStyle w:val="NormalWeb"/>
        <w:shd w:val="clear" w:color="auto" w:fill="FFFFFF"/>
        <w:textAlignment w:val="baseline"/>
        <w:rPr>
          <w:sz w:val="20"/>
          <w:szCs w:val="20"/>
        </w:rPr>
      </w:pPr>
      <w:r w:rsidRPr="002B2651">
        <w:rPr>
          <w:sz w:val="20"/>
          <w:szCs w:val="20"/>
        </w:rPr>
        <w:t xml:space="preserve">Benjamin, Walter. 2014. </w:t>
      </w:r>
      <w:r w:rsidRPr="001722CB">
        <w:rPr>
          <w:i/>
          <w:sz w:val="20"/>
          <w:szCs w:val="20"/>
        </w:rPr>
        <w:t>Radio Benjamin</w:t>
      </w:r>
      <w:r w:rsidRPr="002B2651">
        <w:rPr>
          <w:sz w:val="20"/>
          <w:szCs w:val="20"/>
        </w:rPr>
        <w:t>.</w:t>
      </w:r>
      <w:r w:rsidR="001722CB">
        <w:rPr>
          <w:sz w:val="20"/>
          <w:szCs w:val="20"/>
        </w:rPr>
        <w:t xml:space="preserve"> London: </w:t>
      </w:r>
      <w:r w:rsidR="001722CB" w:rsidRPr="002B2651">
        <w:rPr>
          <w:sz w:val="20"/>
          <w:szCs w:val="20"/>
        </w:rPr>
        <w:t>Verso</w:t>
      </w:r>
      <w:r w:rsidR="001722CB">
        <w:rPr>
          <w:sz w:val="20"/>
          <w:szCs w:val="20"/>
        </w:rPr>
        <w:t>.</w:t>
      </w:r>
    </w:p>
    <w:p w14:paraId="4238D7CB" w14:textId="77212167" w:rsidR="00EF5844" w:rsidRPr="002B2651" w:rsidRDefault="001722CB" w:rsidP="003671F8">
      <w:pPr>
        <w:pStyle w:val="NormalWeb"/>
        <w:shd w:val="clear" w:color="auto" w:fill="FFFFFF"/>
        <w:textAlignment w:val="baseline"/>
        <w:rPr>
          <w:sz w:val="20"/>
          <w:szCs w:val="20"/>
        </w:rPr>
      </w:pPr>
      <w:r>
        <w:rPr>
          <w:sz w:val="20"/>
          <w:szCs w:val="20"/>
        </w:rPr>
        <w:t>Bow</w:t>
      </w:r>
      <w:r w:rsidR="00EF5844" w:rsidRPr="002B2651">
        <w:rPr>
          <w:sz w:val="20"/>
          <w:szCs w:val="20"/>
        </w:rPr>
        <w:t xml:space="preserve">les, Samuel &amp; </w:t>
      </w:r>
      <w:proofErr w:type="spellStart"/>
      <w:r w:rsidR="00EF5844" w:rsidRPr="002B2651">
        <w:rPr>
          <w:sz w:val="20"/>
          <w:szCs w:val="20"/>
        </w:rPr>
        <w:t>Gintis</w:t>
      </w:r>
      <w:proofErr w:type="spellEnd"/>
      <w:r w:rsidR="00EF5844" w:rsidRPr="002B2651">
        <w:rPr>
          <w:sz w:val="20"/>
          <w:szCs w:val="20"/>
        </w:rPr>
        <w:t xml:space="preserve">, Herbert. 1975. The Problem with Human Capital Theory: A Marxian Critique. </w:t>
      </w:r>
      <w:r w:rsidR="00EF5844" w:rsidRPr="002B2651">
        <w:rPr>
          <w:i/>
          <w:sz w:val="20"/>
          <w:szCs w:val="20"/>
        </w:rPr>
        <w:t>The American Economic Review</w:t>
      </w:r>
      <w:r>
        <w:rPr>
          <w:sz w:val="20"/>
          <w:szCs w:val="20"/>
        </w:rPr>
        <w:t xml:space="preserve"> </w:t>
      </w:r>
      <w:r w:rsidR="00EF5844" w:rsidRPr="002B2651">
        <w:rPr>
          <w:sz w:val="20"/>
          <w:szCs w:val="20"/>
        </w:rPr>
        <w:t>65</w:t>
      </w:r>
      <w:r w:rsidR="00A86BEE">
        <w:rPr>
          <w:sz w:val="20"/>
          <w:szCs w:val="20"/>
        </w:rPr>
        <w:t>(</w:t>
      </w:r>
      <w:r w:rsidR="00EF5844" w:rsidRPr="002B2651">
        <w:rPr>
          <w:sz w:val="20"/>
          <w:szCs w:val="20"/>
        </w:rPr>
        <w:t>2</w:t>
      </w:r>
      <w:r w:rsidR="00A86BEE">
        <w:rPr>
          <w:sz w:val="20"/>
          <w:szCs w:val="20"/>
        </w:rPr>
        <w:t>)</w:t>
      </w:r>
      <w:r w:rsidR="00EF5844" w:rsidRPr="002B2651">
        <w:rPr>
          <w:sz w:val="20"/>
          <w:szCs w:val="20"/>
        </w:rPr>
        <w:t>: 74-82.</w:t>
      </w:r>
    </w:p>
    <w:p w14:paraId="0823F408" w14:textId="7EF93118" w:rsidR="003671F8" w:rsidRPr="002B2651" w:rsidRDefault="003671F8" w:rsidP="003671F8">
      <w:pPr>
        <w:pStyle w:val="NormalWeb"/>
        <w:shd w:val="clear" w:color="auto" w:fill="FFFFFF"/>
        <w:textAlignment w:val="baseline"/>
        <w:rPr>
          <w:sz w:val="20"/>
          <w:szCs w:val="20"/>
        </w:rPr>
      </w:pPr>
      <w:r w:rsidRPr="002B2651">
        <w:rPr>
          <w:sz w:val="20"/>
          <w:szCs w:val="20"/>
        </w:rPr>
        <w:t>Boyer, Ernest L. 1978. The Federal Stake in a Learning Society: An</w:t>
      </w:r>
      <w:r w:rsidR="001722CB">
        <w:rPr>
          <w:sz w:val="20"/>
          <w:szCs w:val="20"/>
        </w:rPr>
        <w:t xml:space="preserve"> Interview with Ernest L. Boyer</w:t>
      </w:r>
      <w:r w:rsidRPr="002B2651">
        <w:rPr>
          <w:sz w:val="20"/>
          <w:szCs w:val="20"/>
        </w:rPr>
        <w:t xml:space="preserve">. </w:t>
      </w:r>
      <w:r w:rsidRPr="001722CB">
        <w:rPr>
          <w:i/>
          <w:sz w:val="20"/>
          <w:szCs w:val="20"/>
        </w:rPr>
        <w:t>Change: The Magazine of Learning</w:t>
      </w:r>
      <w:r w:rsidR="00A86BEE">
        <w:rPr>
          <w:sz w:val="20"/>
          <w:szCs w:val="20"/>
        </w:rPr>
        <w:t xml:space="preserve"> 10(</w:t>
      </w:r>
      <w:r w:rsidR="001722CB">
        <w:rPr>
          <w:sz w:val="20"/>
          <w:szCs w:val="20"/>
        </w:rPr>
        <w:t>5</w:t>
      </w:r>
      <w:r w:rsidR="00A86BEE">
        <w:rPr>
          <w:sz w:val="20"/>
          <w:szCs w:val="20"/>
        </w:rPr>
        <w:t>)</w:t>
      </w:r>
      <w:r w:rsidRPr="002B2651">
        <w:rPr>
          <w:sz w:val="20"/>
          <w:szCs w:val="20"/>
        </w:rPr>
        <w:t>: 21-26.</w:t>
      </w:r>
    </w:p>
    <w:p w14:paraId="66558D61" w14:textId="38DD6E50" w:rsidR="003671F8" w:rsidRPr="002B2651" w:rsidRDefault="003671F8" w:rsidP="003671F8">
      <w:pPr>
        <w:pStyle w:val="NormalWeb"/>
        <w:shd w:val="clear" w:color="auto" w:fill="FFFFFF"/>
        <w:textAlignment w:val="baseline"/>
        <w:rPr>
          <w:sz w:val="20"/>
          <w:szCs w:val="20"/>
        </w:rPr>
      </w:pPr>
      <w:r w:rsidRPr="002B2651">
        <w:rPr>
          <w:sz w:val="20"/>
          <w:szCs w:val="20"/>
        </w:rPr>
        <w:t>Boyer, Ernest L. 1985a. Message to the Nation</w:t>
      </w:r>
      <w:r w:rsidR="001722CB">
        <w:rPr>
          <w:sz w:val="20"/>
          <w:szCs w:val="20"/>
        </w:rPr>
        <w:t xml:space="preserve">: Do Not Adjust This Vision. </w:t>
      </w:r>
      <w:r w:rsidRPr="001722CB">
        <w:rPr>
          <w:i/>
          <w:sz w:val="20"/>
          <w:szCs w:val="20"/>
        </w:rPr>
        <w:t>Times Higher Education Supplement</w:t>
      </w:r>
      <w:r w:rsidR="00A86BEE">
        <w:rPr>
          <w:sz w:val="20"/>
          <w:szCs w:val="20"/>
        </w:rPr>
        <w:t>.</w:t>
      </w:r>
      <w:r w:rsidR="001722CB">
        <w:rPr>
          <w:sz w:val="20"/>
          <w:szCs w:val="20"/>
        </w:rPr>
        <w:t xml:space="preserve"> (</w:t>
      </w:r>
      <w:r w:rsidRPr="002B2651">
        <w:rPr>
          <w:sz w:val="20"/>
          <w:szCs w:val="20"/>
        </w:rPr>
        <w:t>July 5</w:t>
      </w:r>
      <w:r w:rsidRPr="002B2651">
        <w:rPr>
          <w:sz w:val="20"/>
          <w:szCs w:val="20"/>
          <w:vertAlign w:val="superscript"/>
        </w:rPr>
        <w:t>th</w:t>
      </w:r>
      <w:r w:rsidRPr="002B2651">
        <w:rPr>
          <w:sz w:val="20"/>
          <w:szCs w:val="20"/>
        </w:rPr>
        <w:t xml:space="preserve"> 1985</w:t>
      </w:r>
      <w:r w:rsidR="001722CB">
        <w:rPr>
          <w:sz w:val="20"/>
          <w:szCs w:val="20"/>
        </w:rPr>
        <w:t>)</w:t>
      </w:r>
      <w:r w:rsidRPr="002B2651">
        <w:rPr>
          <w:sz w:val="20"/>
          <w:szCs w:val="20"/>
        </w:rPr>
        <w:t>.</w:t>
      </w:r>
    </w:p>
    <w:p w14:paraId="7B1D9E19" w14:textId="46DDDB2C" w:rsidR="003671F8" w:rsidRPr="002B2651" w:rsidRDefault="003671F8" w:rsidP="003671F8">
      <w:pPr>
        <w:pStyle w:val="NormalWeb"/>
        <w:shd w:val="clear" w:color="auto" w:fill="FFFFFF"/>
        <w:textAlignment w:val="baseline"/>
        <w:rPr>
          <w:sz w:val="20"/>
          <w:szCs w:val="20"/>
        </w:rPr>
      </w:pPr>
      <w:r w:rsidRPr="002B2651">
        <w:rPr>
          <w:sz w:val="20"/>
          <w:szCs w:val="20"/>
        </w:rPr>
        <w:t>Boyer, Ernest L. 1985b. Introduction.</w:t>
      </w:r>
      <w:r w:rsidR="007F4E49">
        <w:rPr>
          <w:sz w:val="20"/>
          <w:szCs w:val="20"/>
        </w:rPr>
        <w:t xml:space="preserve"> In</w:t>
      </w:r>
      <w:r w:rsidR="002E1054">
        <w:rPr>
          <w:sz w:val="20"/>
          <w:szCs w:val="20"/>
        </w:rPr>
        <w:t xml:space="preserve"> </w:t>
      </w:r>
      <w:r w:rsidR="002E1054" w:rsidRPr="002B2651">
        <w:rPr>
          <w:sz w:val="20"/>
          <w:szCs w:val="20"/>
        </w:rPr>
        <w:t>Frank Newman</w:t>
      </w:r>
      <w:r w:rsidR="002E1054">
        <w:rPr>
          <w:sz w:val="20"/>
          <w:szCs w:val="20"/>
        </w:rPr>
        <w:t>,</w:t>
      </w:r>
      <w:r w:rsidRPr="002B2651">
        <w:rPr>
          <w:sz w:val="20"/>
          <w:szCs w:val="20"/>
        </w:rPr>
        <w:t xml:space="preserve"> </w:t>
      </w:r>
      <w:r w:rsidRPr="007F4E49">
        <w:rPr>
          <w:i/>
          <w:sz w:val="20"/>
          <w:szCs w:val="20"/>
        </w:rPr>
        <w:t>Higher Education and the American Resurgence</w:t>
      </w:r>
      <w:r w:rsidR="007F4E49">
        <w:rPr>
          <w:sz w:val="20"/>
          <w:szCs w:val="20"/>
        </w:rPr>
        <w:t xml:space="preserve">, ix-xii. </w:t>
      </w:r>
      <w:r w:rsidR="007F4E49" w:rsidRPr="002B2651">
        <w:rPr>
          <w:sz w:val="20"/>
          <w:szCs w:val="20"/>
        </w:rPr>
        <w:t>Princeton</w:t>
      </w:r>
      <w:r w:rsidR="007F4E49">
        <w:rPr>
          <w:sz w:val="20"/>
          <w:szCs w:val="20"/>
        </w:rPr>
        <w:t xml:space="preserve">: </w:t>
      </w:r>
      <w:r w:rsidRPr="002B2651">
        <w:rPr>
          <w:sz w:val="20"/>
          <w:szCs w:val="20"/>
        </w:rPr>
        <w:t>Carnegie Foundation for the Adva</w:t>
      </w:r>
      <w:r w:rsidR="007F4E49">
        <w:rPr>
          <w:sz w:val="20"/>
          <w:szCs w:val="20"/>
        </w:rPr>
        <w:t>ncement of Teaching</w:t>
      </w:r>
      <w:r w:rsidRPr="002B2651">
        <w:rPr>
          <w:sz w:val="20"/>
          <w:szCs w:val="20"/>
        </w:rPr>
        <w:t xml:space="preserve">. </w:t>
      </w:r>
    </w:p>
    <w:p w14:paraId="3A471972" w14:textId="230F85C4" w:rsidR="003671F8" w:rsidRPr="002B2651" w:rsidRDefault="003671F8" w:rsidP="003671F8">
      <w:pPr>
        <w:pStyle w:val="NormalWeb"/>
        <w:shd w:val="clear" w:color="auto" w:fill="FFFFFF"/>
        <w:jc w:val="both"/>
        <w:textAlignment w:val="baseline"/>
        <w:rPr>
          <w:sz w:val="20"/>
          <w:szCs w:val="20"/>
        </w:rPr>
      </w:pPr>
      <w:r w:rsidRPr="002B2651">
        <w:rPr>
          <w:sz w:val="20"/>
          <w:szCs w:val="20"/>
        </w:rPr>
        <w:t xml:space="preserve">Boyer, Ernest L. 1990. </w:t>
      </w:r>
      <w:r w:rsidRPr="007F4E49">
        <w:rPr>
          <w:i/>
          <w:sz w:val="20"/>
          <w:szCs w:val="20"/>
        </w:rPr>
        <w:t xml:space="preserve">Scholarship </w:t>
      </w:r>
      <w:proofErr w:type="gramStart"/>
      <w:r w:rsidRPr="007F4E49">
        <w:rPr>
          <w:i/>
          <w:sz w:val="20"/>
          <w:szCs w:val="20"/>
        </w:rPr>
        <w:t>Reconsidered:</w:t>
      </w:r>
      <w:proofErr w:type="gramEnd"/>
      <w:r w:rsidRPr="007F4E49">
        <w:rPr>
          <w:i/>
          <w:sz w:val="20"/>
          <w:szCs w:val="20"/>
        </w:rPr>
        <w:t xml:space="preserve"> Priorities of the Professoriate</w:t>
      </w:r>
      <w:r w:rsidRPr="002B2651">
        <w:rPr>
          <w:sz w:val="20"/>
          <w:szCs w:val="20"/>
        </w:rPr>
        <w:t xml:space="preserve">. </w:t>
      </w:r>
      <w:r w:rsidR="007F4E49" w:rsidRPr="002B2651">
        <w:rPr>
          <w:sz w:val="20"/>
          <w:szCs w:val="20"/>
        </w:rPr>
        <w:t>Princeton</w:t>
      </w:r>
      <w:r w:rsidR="007F4E49">
        <w:rPr>
          <w:sz w:val="20"/>
          <w:szCs w:val="20"/>
        </w:rPr>
        <w:t xml:space="preserve">: </w:t>
      </w:r>
      <w:r w:rsidRPr="002B2651">
        <w:rPr>
          <w:sz w:val="20"/>
          <w:szCs w:val="20"/>
        </w:rPr>
        <w:t xml:space="preserve">The Carnegie Foundation </w:t>
      </w:r>
      <w:r w:rsidR="007F4E49">
        <w:rPr>
          <w:sz w:val="20"/>
          <w:szCs w:val="20"/>
        </w:rPr>
        <w:t>for the Advancement of Teaching.</w:t>
      </w:r>
    </w:p>
    <w:p w14:paraId="54A807B3" w14:textId="1936374E" w:rsidR="003671F8" w:rsidRDefault="003671F8" w:rsidP="003671F8">
      <w:pPr>
        <w:pStyle w:val="NormalWeb"/>
        <w:shd w:val="clear" w:color="auto" w:fill="FFFFFF"/>
        <w:textAlignment w:val="baseline"/>
        <w:rPr>
          <w:sz w:val="20"/>
          <w:szCs w:val="20"/>
        </w:rPr>
      </w:pPr>
      <w:r w:rsidRPr="002B2651">
        <w:rPr>
          <w:sz w:val="20"/>
          <w:szCs w:val="20"/>
        </w:rPr>
        <w:t xml:space="preserve">Boyer, Ernest L. 1991. </w:t>
      </w:r>
      <w:r w:rsidRPr="007F4E49">
        <w:rPr>
          <w:sz w:val="20"/>
          <w:szCs w:val="20"/>
        </w:rPr>
        <w:t>Elementary and secondary education</w:t>
      </w:r>
      <w:r w:rsidRPr="002B2651">
        <w:rPr>
          <w:sz w:val="20"/>
          <w:szCs w:val="20"/>
        </w:rPr>
        <w:t xml:space="preserve">. In </w:t>
      </w:r>
      <w:r w:rsidRPr="007F4E49">
        <w:rPr>
          <w:i/>
          <w:sz w:val="20"/>
          <w:szCs w:val="20"/>
        </w:rPr>
        <w:t>Human Capital and America’s Future: An Economic Strategy for the 1990s</w:t>
      </w:r>
      <w:r w:rsidR="007F4E49">
        <w:rPr>
          <w:sz w:val="20"/>
          <w:szCs w:val="20"/>
        </w:rPr>
        <w:t xml:space="preserve">, eds. </w:t>
      </w:r>
      <w:r w:rsidR="007F4E49" w:rsidRPr="002B2651">
        <w:rPr>
          <w:sz w:val="20"/>
          <w:szCs w:val="20"/>
        </w:rPr>
        <w:t xml:space="preserve">David W. Hornbeck and Lester M. </w:t>
      </w:r>
      <w:proofErr w:type="spellStart"/>
      <w:r w:rsidR="007F4E49" w:rsidRPr="002B2651">
        <w:rPr>
          <w:sz w:val="20"/>
          <w:szCs w:val="20"/>
        </w:rPr>
        <w:t>Salamon</w:t>
      </w:r>
      <w:proofErr w:type="spellEnd"/>
      <w:r w:rsidR="007F4E49" w:rsidRPr="002B2651">
        <w:rPr>
          <w:sz w:val="20"/>
          <w:szCs w:val="20"/>
        </w:rPr>
        <w:t>,</w:t>
      </w:r>
      <w:r w:rsidR="007F4E49">
        <w:rPr>
          <w:sz w:val="20"/>
          <w:szCs w:val="20"/>
        </w:rPr>
        <w:t xml:space="preserve"> 171-</w:t>
      </w:r>
      <w:r w:rsidR="002E1054">
        <w:rPr>
          <w:sz w:val="20"/>
          <w:szCs w:val="20"/>
        </w:rPr>
        <w:t>192</w:t>
      </w:r>
      <w:r w:rsidR="007F4E49">
        <w:rPr>
          <w:sz w:val="20"/>
          <w:szCs w:val="20"/>
        </w:rPr>
        <w:t>.</w:t>
      </w:r>
      <w:r w:rsidR="00A86BEE">
        <w:rPr>
          <w:sz w:val="20"/>
          <w:szCs w:val="20"/>
        </w:rPr>
        <w:t xml:space="preserve"> Baltimore: </w:t>
      </w:r>
      <w:r w:rsidR="002E1054">
        <w:rPr>
          <w:sz w:val="20"/>
          <w:szCs w:val="20"/>
        </w:rPr>
        <w:t>John Hopkins University Press.</w:t>
      </w:r>
    </w:p>
    <w:p w14:paraId="4D3C3D56" w14:textId="59C14403" w:rsidR="003671F8" w:rsidRPr="002B2651" w:rsidRDefault="003671F8" w:rsidP="003671F8">
      <w:pPr>
        <w:pStyle w:val="NormalWeb"/>
        <w:shd w:val="clear" w:color="auto" w:fill="FFFFFF"/>
        <w:textAlignment w:val="baseline"/>
        <w:rPr>
          <w:i/>
          <w:sz w:val="20"/>
          <w:szCs w:val="20"/>
        </w:rPr>
      </w:pPr>
      <w:r w:rsidRPr="002B2651">
        <w:rPr>
          <w:sz w:val="20"/>
          <w:szCs w:val="20"/>
        </w:rPr>
        <w:t>BIS (Department of Business, Innovation and Skills). 2011.</w:t>
      </w:r>
      <w:r w:rsidRPr="002B2651">
        <w:rPr>
          <w:i/>
          <w:sz w:val="20"/>
          <w:szCs w:val="20"/>
        </w:rPr>
        <w:t xml:space="preserve"> </w:t>
      </w:r>
      <w:r w:rsidRPr="002E1054">
        <w:rPr>
          <w:i/>
          <w:sz w:val="20"/>
          <w:szCs w:val="20"/>
        </w:rPr>
        <w:t>Higher Education: Students at the Heart of the System</w:t>
      </w:r>
      <w:r w:rsidR="002E1054">
        <w:rPr>
          <w:i/>
          <w:sz w:val="20"/>
          <w:szCs w:val="20"/>
        </w:rPr>
        <w:t>.</w:t>
      </w:r>
      <w:r w:rsidR="002E1054">
        <w:rPr>
          <w:sz w:val="20"/>
          <w:szCs w:val="20"/>
        </w:rPr>
        <w:t xml:space="preserve"> (</w:t>
      </w:r>
      <w:r w:rsidRPr="002B2651">
        <w:rPr>
          <w:sz w:val="20"/>
          <w:szCs w:val="20"/>
        </w:rPr>
        <w:t>June 2011</w:t>
      </w:r>
      <w:r w:rsidR="002E1054">
        <w:rPr>
          <w:sz w:val="20"/>
          <w:szCs w:val="20"/>
        </w:rPr>
        <w:t>)</w:t>
      </w:r>
      <w:r w:rsidRPr="002B2651">
        <w:rPr>
          <w:sz w:val="20"/>
          <w:szCs w:val="20"/>
        </w:rPr>
        <w:t>.</w:t>
      </w:r>
    </w:p>
    <w:p w14:paraId="1B09E7E2" w14:textId="665B0BB7" w:rsidR="003671F8" w:rsidRPr="002B2651" w:rsidRDefault="003671F8" w:rsidP="003671F8">
      <w:pPr>
        <w:pStyle w:val="NormalWeb"/>
        <w:shd w:val="clear" w:color="auto" w:fill="FFFFFF"/>
        <w:textAlignment w:val="baseline"/>
        <w:rPr>
          <w:sz w:val="20"/>
          <w:szCs w:val="20"/>
        </w:rPr>
      </w:pPr>
      <w:r w:rsidRPr="002B2651">
        <w:rPr>
          <w:sz w:val="20"/>
          <w:szCs w:val="20"/>
        </w:rPr>
        <w:t xml:space="preserve">BIS (Department of Business, Innovation and Skills). 2015. </w:t>
      </w:r>
      <w:r w:rsidRPr="002E1054">
        <w:rPr>
          <w:i/>
          <w:sz w:val="20"/>
          <w:szCs w:val="20"/>
        </w:rPr>
        <w:t>Fulfilling our Potential: Teaching Excellence, Social Mobility and Student Choice</w:t>
      </w:r>
      <w:r w:rsidR="002E1054">
        <w:rPr>
          <w:i/>
          <w:sz w:val="20"/>
          <w:szCs w:val="20"/>
        </w:rPr>
        <w:t>.</w:t>
      </w:r>
      <w:r w:rsidR="002E1054">
        <w:rPr>
          <w:sz w:val="20"/>
          <w:szCs w:val="20"/>
        </w:rPr>
        <w:t xml:space="preserve"> (</w:t>
      </w:r>
      <w:r w:rsidRPr="002B2651">
        <w:rPr>
          <w:sz w:val="20"/>
          <w:szCs w:val="20"/>
        </w:rPr>
        <w:t>November 2015</w:t>
      </w:r>
      <w:r w:rsidR="002E1054">
        <w:rPr>
          <w:sz w:val="20"/>
          <w:szCs w:val="20"/>
        </w:rPr>
        <w:t>)</w:t>
      </w:r>
      <w:r w:rsidRPr="002B2651">
        <w:rPr>
          <w:sz w:val="20"/>
          <w:szCs w:val="20"/>
        </w:rPr>
        <w:t xml:space="preserve">. </w:t>
      </w:r>
    </w:p>
    <w:p w14:paraId="66118232" w14:textId="42258DFF" w:rsidR="003671F8" w:rsidRPr="002B2651" w:rsidRDefault="003671F8" w:rsidP="003671F8">
      <w:pPr>
        <w:pStyle w:val="NormalWeb"/>
        <w:shd w:val="clear" w:color="auto" w:fill="FFFFFF"/>
        <w:textAlignment w:val="baseline"/>
        <w:rPr>
          <w:sz w:val="20"/>
          <w:szCs w:val="20"/>
        </w:rPr>
      </w:pPr>
      <w:r w:rsidRPr="002B2651">
        <w:rPr>
          <w:sz w:val="20"/>
          <w:szCs w:val="20"/>
        </w:rPr>
        <w:t xml:space="preserve">BIS (Department of Business, Innovation and Skills). 2016. </w:t>
      </w:r>
      <w:r w:rsidRPr="002E1054">
        <w:rPr>
          <w:i/>
          <w:sz w:val="20"/>
          <w:szCs w:val="20"/>
        </w:rPr>
        <w:t>Success as a Knowledge Economy: Teaching Excellence, Social Mobility and Student Choice</w:t>
      </w:r>
      <w:r w:rsidRPr="002B2651">
        <w:rPr>
          <w:sz w:val="20"/>
          <w:szCs w:val="20"/>
        </w:rPr>
        <w:t xml:space="preserve">. </w:t>
      </w:r>
      <w:r w:rsidR="002E1054">
        <w:rPr>
          <w:sz w:val="20"/>
          <w:szCs w:val="20"/>
        </w:rPr>
        <w:t>(</w:t>
      </w:r>
      <w:r w:rsidRPr="002B2651">
        <w:rPr>
          <w:sz w:val="20"/>
          <w:szCs w:val="20"/>
        </w:rPr>
        <w:t>May 2016</w:t>
      </w:r>
      <w:r w:rsidR="002E1054">
        <w:rPr>
          <w:sz w:val="20"/>
          <w:szCs w:val="20"/>
        </w:rPr>
        <w:t>)</w:t>
      </w:r>
      <w:r w:rsidRPr="002B2651">
        <w:rPr>
          <w:sz w:val="20"/>
          <w:szCs w:val="20"/>
        </w:rPr>
        <w:t>.</w:t>
      </w:r>
    </w:p>
    <w:p w14:paraId="0795A6E1" w14:textId="5FD929DB" w:rsidR="003671F8" w:rsidRPr="002B2651" w:rsidRDefault="003671F8" w:rsidP="003671F8">
      <w:pPr>
        <w:spacing w:after="360"/>
        <w:rPr>
          <w:sz w:val="20"/>
          <w:szCs w:val="20"/>
          <w:lang w:val="en-US"/>
        </w:rPr>
      </w:pPr>
      <w:r w:rsidRPr="002B2651">
        <w:rPr>
          <w:sz w:val="20"/>
          <w:szCs w:val="20"/>
        </w:rPr>
        <w:t xml:space="preserve">Brew, Angela. 2006. </w:t>
      </w:r>
      <w:r w:rsidRPr="002E1054">
        <w:rPr>
          <w:i/>
          <w:sz w:val="20"/>
          <w:szCs w:val="20"/>
        </w:rPr>
        <w:t>Research and Teaching: Beyond the Divide</w:t>
      </w:r>
      <w:r w:rsidRPr="002B2651">
        <w:rPr>
          <w:sz w:val="20"/>
          <w:szCs w:val="20"/>
        </w:rPr>
        <w:t xml:space="preserve">. </w:t>
      </w:r>
      <w:r w:rsidR="002E1054">
        <w:rPr>
          <w:sz w:val="20"/>
          <w:szCs w:val="20"/>
        </w:rPr>
        <w:t xml:space="preserve">New York: </w:t>
      </w:r>
      <w:r w:rsidR="002E1054" w:rsidRPr="002B2651">
        <w:rPr>
          <w:sz w:val="20"/>
          <w:szCs w:val="20"/>
        </w:rPr>
        <w:t xml:space="preserve">Palgrave </w:t>
      </w:r>
      <w:r w:rsidR="002E1054">
        <w:rPr>
          <w:sz w:val="20"/>
          <w:szCs w:val="20"/>
        </w:rPr>
        <w:t>Macmillan.</w:t>
      </w:r>
    </w:p>
    <w:p w14:paraId="132FC9B4" w14:textId="0730E7B4" w:rsidR="003671F8" w:rsidRPr="002B2651" w:rsidRDefault="003671F8" w:rsidP="003671F8">
      <w:pPr>
        <w:spacing w:after="360"/>
        <w:rPr>
          <w:sz w:val="20"/>
          <w:szCs w:val="20"/>
          <w:lang w:val="en-US"/>
        </w:rPr>
      </w:pPr>
      <w:proofErr w:type="spellStart"/>
      <w:r w:rsidRPr="002B2651">
        <w:rPr>
          <w:sz w:val="20"/>
          <w:szCs w:val="20"/>
          <w:lang w:val="en-US"/>
        </w:rPr>
        <w:t>Callinan</w:t>
      </w:r>
      <w:proofErr w:type="spellEnd"/>
      <w:r w:rsidRPr="002B2651">
        <w:rPr>
          <w:sz w:val="20"/>
          <w:szCs w:val="20"/>
          <w:lang w:val="en-US"/>
        </w:rPr>
        <w:t xml:space="preserve">, Carol, </w:t>
      </w:r>
      <w:r w:rsidR="00A86BEE" w:rsidRPr="002B2651">
        <w:rPr>
          <w:sz w:val="20"/>
          <w:szCs w:val="20"/>
          <w:lang w:val="en-US"/>
        </w:rPr>
        <w:t>John G.</w:t>
      </w:r>
      <w:r w:rsidR="00A86BEE">
        <w:rPr>
          <w:sz w:val="20"/>
          <w:szCs w:val="20"/>
          <w:lang w:val="en-US"/>
        </w:rPr>
        <w:t xml:space="preserve"> Sharp and </w:t>
      </w:r>
      <w:r w:rsidRPr="002B2651">
        <w:rPr>
          <w:sz w:val="20"/>
          <w:szCs w:val="20"/>
          <w:lang w:val="en-US"/>
        </w:rPr>
        <w:t>Brian</w:t>
      </w:r>
      <w:r w:rsidR="00A86BEE">
        <w:rPr>
          <w:sz w:val="20"/>
          <w:szCs w:val="20"/>
          <w:lang w:val="en-US"/>
        </w:rPr>
        <w:t xml:space="preserve"> </w:t>
      </w:r>
      <w:proofErr w:type="spellStart"/>
      <w:r w:rsidR="00A86BEE" w:rsidRPr="002B2651">
        <w:rPr>
          <w:sz w:val="20"/>
          <w:szCs w:val="20"/>
          <w:lang w:val="en-US"/>
        </w:rPr>
        <w:t>Hemmings</w:t>
      </w:r>
      <w:proofErr w:type="spellEnd"/>
      <w:r w:rsidRPr="002B2651">
        <w:rPr>
          <w:sz w:val="20"/>
          <w:szCs w:val="20"/>
          <w:lang w:val="en-US"/>
        </w:rPr>
        <w:t xml:space="preserve">. 2012. Capacity building for research-led teaching and teaching-led research: The impact of confidence, career stage and other factors. In </w:t>
      </w:r>
      <w:proofErr w:type="gramStart"/>
      <w:r w:rsidRPr="002E1054">
        <w:rPr>
          <w:i/>
          <w:sz w:val="20"/>
          <w:szCs w:val="20"/>
          <w:lang w:val="en-US"/>
        </w:rPr>
        <w:t>What</w:t>
      </w:r>
      <w:proofErr w:type="gramEnd"/>
      <w:r w:rsidRPr="002E1054">
        <w:rPr>
          <w:i/>
          <w:sz w:val="20"/>
          <w:szCs w:val="20"/>
          <w:lang w:val="en-US"/>
        </w:rPr>
        <w:t xml:space="preserve"> is Research-Led Teaching? Multi-disciplinary Perspectives</w:t>
      </w:r>
      <w:r w:rsidR="00A86BEE">
        <w:rPr>
          <w:sz w:val="20"/>
          <w:szCs w:val="20"/>
          <w:lang w:val="en-US"/>
        </w:rPr>
        <w:t xml:space="preserve">, eds. </w:t>
      </w:r>
      <w:r w:rsidR="00A86BEE" w:rsidRPr="002B2651">
        <w:rPr>
          <w:sz w:val="20"/>
          <w:szCs w:val="20"/>
          <w:lang w:val="en-US"/>
        </w:rPr>
        <w:t>Alis</w:t>
      </w:r>
      <w:r w:rsidR="00A86BEE">
        <w:rPr>
          <w:sz w:val="20"/>
          <w:szCs w:val="20"/>
          <w:lang w:val="en-US"/>
        </w:rPr>
        <w:t xml:space="preserve">a </w:t>
      </w:r>
      <w:r w:rsidR="00A86BEE" w:rsidRPr="002B2651">
        <w:rPr>
          <w:sz w:val="20"/>
          <w:szCs w:val="20"/>
          <w:lang w:val="en-US"/>
        </w:rPr>
        <w:t>Miller</w:t>
      </w:r>
      <w:r w:rsidR="00A86BEE">
        <w:rPr>
          <w:sz w:val="20"/>
          <w:szCs w:val="20"/>
          <w:lang w:val="en-US"/>
        </w:rPr>
        <w:t>, John G. Sharp and Jeremy Strong, 30-37.</w:t>
      </w:r>
      <w:r w:rsidR="00A86BEE" w:rsidRPr="002B2651">
        <w:rPr>
          <w:sz w:val="20"/>
          <w:szCs w:val="20"/>
          <w:lang w:val="en-US"/>
        </w:rPr>
        <w:t xml:space="preserve"> </w:t>
      </w:r>
      <w:r w:rsidRPr="002B2651">
        <w:rPr>
          <w:sz w:val="20"/>
          <w:szCs w:val="20"/>
          <w:lang w:val="en-US"/>
        </w:rPr>
        <w:t>Consortium for Research Ex</w:t>
      </w:r>
      <w:r w:rsidR="00A86BEE">
        <w:rPr>
          <w:sz w:val="20"/>
          <w:szCs w:val="20"/>
          <w:lang w:val="en-US"/>
        </w:rPr>
        <w:t>cellence, Support and Training.</w:t>
      </w:r>
    </w:p>
    <w:p w14:paraId="2B59A834" w14:textId="6E26D690" w:rsidR="003671F8" w:rsidRPr="002B2651" w:rsidRDefault="003671F8" w:rsidP="003671F8">
      <w:pPr>
        <w:spacing w:after="360"/>
        <w:rPr>
          <w:sz w:val="20"/>
          <w:szCs w:val="20"/>
        </w:rPr>
      </w:pPr>
      <w:r w:rsidRPr="002B2651">
        <w:rPr>
          <w:sz w:val="20"/>
          <w:szCs w:val="20"/>
        </w:rPr>
        <w:t xml:space="preserve">Carnegie Foundation for the Advancement of Teaching. 1985. </w:t>
      </w:r>
      <w:r w:rsidRPr="00A86BEE">
        <w:rPr>
          <w:i/>
          <w:sz w:val="20"/>
          <w:szCs w:val="20"/>
        </w:rPr>
        <w:t>Sustaining the Vision: A Statement on the Federal Role in Higher Education</w:t>
      </w:r>
      <w:r w:rsidRPr="002B2651">
        <w:rPr>
          <w:sz w:val="20"/>
          <w:szCs w:val="20"/>
        </w:rPr>
        <w:t xml:space="preserve">. </w:t>
      </w:r>
      <w:r w:rsidR="00A86BEE" w:rsidRPr="002B2651">
        <w:rPr>
          <w:sz w:val="20"/>
          <w:szCs w:val="20"/>
        </w:rPr>
        <w:t>Princeton</w:t>
      </w:r>
      <w:r w:rsidR="00A86BEE">
        <w:rPr>
          <w:sz w:val="20"/>
          <w:szCs w:val="20"/>
        </w:rPr>
        <w:t>: The Carnegie Foundation.</w:t>
      </w:r>
    </w:p>
    <w:p w14:paraId="29969401" w14:textId="300E1EB2" w:rsidR="003671F8" w:rsidRPr="002B2651" w:rsidRDefault="003671F8" w:rsidP="003671F8">
      <w:pPr>
        <w:autoSpaceDE w:val="0"/>
        <w:autoSpaceDN w:val="0"/>
        <w:adjustRightInd w:val="0"/>
        <w:rPr>
          <w:color w:val="231F20"/>
          <w:sz w:val="20"/>
          <w:szCs w:val="20"/>
        </w:rPr>
      </w:pPr>
      <w:r w:rsidRPr="002B2651">
        <w:rPr>
          <w:color w:val="231F20"/>
          <w:sz w:val="20"/>
          <w:szCs w:val="20"/>
        </w:rPr>
        <w:t>Little, Brenda, William</w:t>
      </w:r>
      <w:r w:rsidR="00A86BEE">
        <w:rPr>
          <w:color w:val="231F20"/>
          <w:sz w:val="20"/>
          <w:szCs w:val="20"/>
        </w:rPr>
        <w:t xml:space="preserve"> </w:t>
      </w:r>
      <w:r w:rsidR="00A86BEE" w:rsidRPr="002B2651">
        <w:rPr>
          <w:color w:val="231F20"/>
          <w:sz w:val="20"/>
          <w:szCs w:val="20"/>
        </w:rPr>
        <w:t>Locke,</w:t>
      </w:r>
      <w:r w:rsidR="00A86BEE">
        <w:rPr>
          <w:color w:val="231F20"/>
          <w:sz w:val="20"/>
          <w:szCs w:val="20"/>
        </w:rPr>
        <w:t xml:space="preserve"> </w:t>
      </w:r>
      <w:r w:rsidRPr="002B2651">
        <w:rPr>
          <w:color w:val="231F20"/>
          <w:sz w:val="20"/>
          <w:szCs w:val="20"/>
        </w:rPr>
        <w:t>Jan</w:t>
      </w:r>
      <w:r w:rsidR="00A86BEE">
        <w:rPr>
          <w:color w:val="231F20"/>
          <w:sz w:val="20"/>
          <w:szCs w:val="20"/>
        </w:rPr>
        <w:t xml:space="preserve"> Parker and </w:t>
      </w:r>
      <w:r w:rsidRPr="002B2651">
        <w:rPr>
          <w:color w:val="231F20"/>
          <w:sz w:val="20"/>
          <w:szCs w:val="20"/>
        </w:rPr>
        <w:t>John</w:t>
      </w:r>
      <w:r w:rsidR="00A86BEE">
        <w:rPr>
          <w:color w:val="231F20"/>
          <w:sz w:val="20"/>
          <w:szCs w:val="20"/>
        </w:rPr>
        <w:t xml:space="preserve"> </w:t>
      </w:r>
      <w:r w:rsidR="00A86BEE" w:rsidRPr="002B2651">
        <w:rPr>
          <w:color w:val="231F20"/>
          <w:sz w:val="20"/>
          <w:szCs w:val="20"/>
        </w:rPr>
        <w:t>Richardson</w:t>
      </w:r>
      <w:r w:rsidRPr="002B2651">
        <w:rPr>
          <w:color w:val="231F20"/>
          <w:sz w:val="20"/>
          <w:szCs w:val="20"/>
        </w:rPr>
        <w:t xml:space="preserve">. 2007. </w:t>
      </w:r>
      <w:r w:rsidRPr="00A86BEE">
        <w:rPr>
          <w:i/>
          <w:color w:val="231F20"/>
          <w:sz w:val="20"/>
          <w:szCs w:val="20"/>
        </w:rPr>
        <w:t>Excellence in Teaching and Learning: a review of literature for the Higher Education Academy</w:t>
      </w:r>
      <w:r w:rsidRPr="002B2651">
        <w:rPr>
          <w:color w:val="231F20"/>
          <w:sz w:val="20"/>
          <w:szCs w:val="20"/>
        </w:rPr>
        <w:t xml:space="preserve">. Centre for Higher Education Research and Information at the Open University. </w:t>
      </w:r>
      <w:r w:rsidR="00A86BEE">
        <w:rPr>
          <w:color w:val="231F20"/>
          <w:sz w:val="20"/>
          <w:szCs w:val="20"/>
        </w:rPr>
        <w:t>(</w:t>
      </w:r>
      <w:r w:rsidRPr="002B2651">
        <w:rPr>
          <w:color w:val="231F20"/>
          <w:sz w:val="20"/>
          <w:szCs w:val="20"/>
        </w:rPr>
        <w:t>July 2007</w:t>
      </w:r>
      <w:r w:rsidR="00A86BEE">
        <w:rPr>
          <w:color w:val="231F20"/>
          <w:sz w:val="20"/>
          <w:szCs w:val="20"/>
        </w:rPr>
        <w:t>)</w:t>
      </w:r>
      <w:r w:rsidRPr="002B2651">
        <w:rPr>
          <w:color w:val="231F20"/>
          <w:sz w:val="20"/>
          <w:szCs w:val="20"/>
        </w:rPr>
        <w:t>.</w:t>
      </w:r>
    </w:p>
    <w:p w14:paraId="10B8BE49" w14:textId="77777777" w:rsidR="003671F8" w:rsidRPr="002B2651" w:rsidRDefault="003671F8" w:rsidP="003671F8">
      <w:pPr>
        <w:autoSpaceDE w:val="0"/>
        <w:autoSpaceDN w:val="0"/>
        <w:adjustRightInd w:val="0"/>
        <w:rPr>
          <w:color w:val="231F20"/>
          <w:sz w:val="20"/>
          <w:szCs w:val="20"/>
        </w:rPr>
      </w:pPr>
    </w:p>
    <w:p w14:paraId="1A68BAC8" w14:textId="5B4E19CF" w:rsidR="003671F8" w:rsidRPr="002B2651" w:rsidRDefault="003671F8" w:rsidP="003671F8">
      <w:pPr>
        <w:autoSpaceDE w:val="0"/>
        <w:autoSpaceDN w:val="0"/>
        <w:adjustRightInd w:val="0"/>
        <w:rPr>
          <w:color w:val="231F20"/>
          <w:sz w:val="20"/>
          <w:szCs w:val="20"/>
        </w:rPr>
      </w:pPr>
      <w:proofErr w:type="spellStart"/>
      <w:r w:rsidRPr="002B2651">
        <w:rPr>
          <w:sz w:val="20"/>
          <w:szCs w:val="20"/>
        </w:rPr>
        <w:t>Colbeck</w:t>
      </w:r>
      <w:proofErr w:type="spellEnd"/>
      <w:r w:rsidRPr="002B2651">
        <w:rPr>
          <w:sz w:val="20"/>
          <w:szCs w:val="20"/>
        </w:rPr>
        <w:t xml:space="preserve">, C. L. 1998. Merging the seamless blend: How faculty integrate teaching and research. </w:t>
      </w:r>
      <w:r w:rsidRPr="00A86BEE">
        <w:rPr>
          <w:i/>
          <w:sz w:val="20"/>
          <w:szCs w:val="20"/>
        </w:rPr>
        <w:t>The Journal of Higher Education</w:t>
      </w:r>
      <w:r w:rsidR="00A86BEE">
        <w:rPr>
          <w:sz w:val="20"/>
          <w:szCs w:val="20"/>
        </w:rPr>
        <w:t xml:space="preserve"> 96(6)</w:t>
      </w:r>
      <w:r w:rsidRPr="002B2651">
        <w:rPr>
          <w:sz w:val="20"/>
          <w:szCs w:val="20"/>
        </w:rPr>
        <w:t>: 647-671.</w:t>
      </w:r>
    </w:p>
    <w:p w14:paraId="3ED25057" w14:textId="77777777" w:rsidR="003671F8" w:rsidRPr="002B2651" w:rsidRDefault="003671F8" w:rsidP="003671F8">
      <w:pPr>
        <w:autoSpaceDE w:val="0"/>
        <w:autoSpaceDN w:val="0"/>
        <w:adjustRightInd w:val="0"/>
        <w:rPr>
          <w:color w:val="231F20"/>
          <w:sz w:val="20"/>
          <w:szCs w:val="20"/>
        </w:rPr>
      </w:pPr>
    </w:p>
    <w:p w14:paraId="2560F099" w14:textId="0B2BCD9D" w:rsidR="003671F8" w:rsidRPr="002B2651" w:rsidRDefault="003671F8" w:rsidP="003671F8">
      <w:pPr>
        <w:spacing w:after="360"/>
        <w:rPr>
          <w:sz w:val="20"/>
          <w:szCs w:val="20"/>
        </w:rPr>
      </w:pPr>
      <w:r w:rsidRPr="002B2651">
        <w:rPr>
          <w:sz w:val="20"/>
          <w:szCs w:val="20"/>
        </w:rPr>
        <w:t xml:space="preserve">Commission on the Future of Community Colleges. 1988. </w:t>
      </w:r>
      <w:r w:rsidRPr="00A86BEE">
        <w:rPr>
          <w:i/>
          <w:sz w:val="20"/>
          <w:szCs w:val="20"/>
        </w:rPr>
        <w:t>Building Communities: A Vision for a New Century</w:t>
      </w:r>
      <w:r w:rsidRPr="002B2651">
        <w:rPr>
          <w:sz w:val="20"/>
          <w:szCs w:val="20"/>
        </w:rPr>
        <w:t xml:space="preserve">. </w:t>
      </w:r>
      <w:r w:rsidR="00A86BEE">
        <w:rPr>
          <w:sz w:val="20"/>
          <w:szCs w:val="20"/>
        </w:rPr>
        <w:t xml:space="preserve">Washington, D.C.: </w:t>
      </w:r>
      <w:r w:rsidR="00A86BEE" w:rsidRPr="002B2651">
        <w:rPr>
          <w:sz w:val="20"/>
          <w:szCs w:val="20"/>
        </w:rPr>
        <w:t>American Association o</w:t>
      </w:r>
      <w:r w:rsidR="00A86BEE">
        <w:rPr>
          <w:sz w:val="20"/>
          <w:szCs w:val="20"/>
        </w:rPr>
        <w:t>f Community and Junior Colleges.</w:t>
      </w:r>
    </w:p>
    <w:p w14:paraId="12FAF301" w14:textId="48400DCD" w:rsidR="003671F8" w:rsidRPr="002B2651" w:rsidRDefault="003671F8" w:rsidP="003671F8">
      <w:pPr>
        <w:autoSpaceDE w:val="0"/>
        <w:autoSpaceDN w:val="0"/>
        <w:adjustRightInd w:val="0"/>
        <w:rPr>
          <w:sz w:val="20"/>
          <w:szCs w:val="20"/>
        </w:rPr>
      </w:pPr>
      <w:proofErr w:type="gramStart"/>
      <w:r w:rsidRPr="002B2651">
        <w:rPr>
          <w:sz w:val="20"/>
          <w:szCs w:val="20"/>
        </w:rPr>
        <w:lastRenderedPageBreak/>
        <w:t>Cross</w:t>
      </w:r>
      <w:proofErr w:type="gramEnd"/>
      <w:r w:rsidRPr="002B2651">
        <w:rPr>
          <w:sz w:val="20"/>
          <w:szCs w:val="20"/>
        </w:rPr>
        <w:t xml:space="preserve">, K. Patricia and </w:t>
      </w:r>
      <w:r w:rsidR="00A86BEE" w:rsidRPr="002B2651">
        <w:rPr>
          <w:sz w:val="20"/>
          <w:szCs w:val="20"/>
        </w:rPr>
        <w:t xml:space="preserve">Mimi Harris </w:t>
      </w:r>
      <w:r w:rsidR="00A86BEE">
        <w:rPr>
          <w:sz w:val="20"/>
          <w:szCs w:val="20"/>
        </w:rPr>
        <w:t>Steadman</w:t>
      </w:r>
      <w:r w:rsidRPr="002B2651">
        <w:rPr>
          <w:sz w:val="20"/>
          <w:szCs w:val="20"/>
        </w:rPr>
        <w:t xml:space="preserve">. 1996. </w:t>
      </w:r>
      <w:r w:rsidRPr="00A86BEE">
        <w:rPr>
          <w:i/>
          <w:sz w:val="20"/>
          <w:szCs w:val="20"/>
        </w:rPr>
        <w:t>Classroom Research: Implementing the Scholarship of Teaching</w:t>
      </w:r>
      <w:r w:rsidRPr="002B2651">
        <w:rPr>
          <w:sz w:val="20"/>
          <w:szCs w:val="20"/>
        </w:rPr>
        <w:t xml:space="preserve">. </w:t>
      </w:r>
      <w:r w:rsidR="00A86BEE">
        <w:rPr>
          <w:sz w:val="20"/>
          <w:szCs w:val="20"/>
        </w:rPr>
        <w:t xml:space="preserve">San Francisco: </w:t>
      </w:r>
      <w:proofErr w:type="spellStart"/>
      <w:r w:rsidR="00A86BEE" w:rsidRPr="002B2651">
        <w:rPr>
          <w:sz w:val="20"/>
          <w:szCs w:val="20"/>
        </w:rPr>
        <w:t>Jossey</w:t>
      </w:r>
      <w:proofErr w:type="spellEnd"/>
      <w:r w:rsidR="00A86BEE" w:rsidRPr="002B2651">
        <w:rPr>
          <w:sz w:val="20"/>
          <w:szCs w:val="20"/>
        </w:rPr>
        <w:t>-Bass P</w:t>
      </w:r>
      <w:r w:rsidR="00A86BEE">
        <w:rPr>
          <w:sz w:val="20"/>
          <w:szCs w:val="20"/>
        </w:rPr>
        <w:t>ublishers.</w:t>
      </w:r>
    </w:p>
    <w:p w14:paraId="01CDF4C0" w14:textId="774E0FCE" w:rsidR="003671F8" w:rsidRPr="002B2651" w:rsidRDefault="003671F8" w:rsidP="003671F8">
      <w:pPr>
        <w:pStyle w:val="NormalWeb"/>
        <w:rPr>
          <w:sz w:val="20"/>
          <w:szCs w:val="20"/>
        </w:rPr>
      </w:pPr>
      <w:r w:rsidRPr="002B2651">
        <w:rPr>
          <w:sz w:val="20"/>
          <w:szCs w:val="20"/>
        </w:rPr>
        <w:t xml:space="preserve">Dearing, Ron. 1994. </w:t>
      </w:r>
      <w:r w:rsidRPr="00A86BEE">
        <w:rPr>
          <w:i/>
          <w:sz w:val="20"/>
          <w:szCs w:val="20"/>
        </w:rPr>
        <w:t>The National Curriculum and its Assessment</w:t>
      </w:r>
      <w:r w:rsidRPr="002B2651">
        <w:rPr>
          <w:sz w:val="20"/>
          <w:szCs w:val="20"/>
        </w:rPr>
        <w:t xml:space="preserve">. </w:t>
      </w:r>
      <w:r w:rsidR="00A86BEE">
        <w:rPr>
          <w:sz w:val="20"/>
          <w:szCs w:val="20"/>
        </w:rPr>
        <w:t xml:space="preserve">London: </w:t>
      </w:r>
      <w:r w:rsidR="00A86BEE" w:rsidRPr="002B2651">
        <w:rPr>
          <w:sz w:val="20"/>
          <w:szCs w:val="20"/>
        </w:rPr>
        <w:t>School Curr</w:t>
      </w:r>
      <w:r w:rsidR="00A86BEE">
        <w:rPr>
          <w:sz w:val="20"/>
          <w:szCs w:val="20"/>
        </w:rPr>
        <w:t>iculum and Assessment Authority.</w:t>
      </w:r>
    </w:p>
    <w:p w14:paraId="55331F19" w14:textId="3B4A8865" w:rsidR="003671F8" w:rsidRDefault="003671F8" w:rsidP="003671F8">
      <w:pPr>
        <w:pStyle w:val="NormalWeb"/>
        <w:rPr>
          <w:sz w:val="20"/>
          <w:szCs w:val="20"/>
        </w:rPr>
      </w:pPr>
      <w:r w:rsidRPr="002B2651">
        <w:rPr>
          <w:sz w:val="20"/>
          <w:szCs w:val="20"/>
        </w:rPr>
        <w:t xml:space="preserve">Dearing, Ron. 1997. </w:t>
      </w:r>
      <w:r w:rsidRPr="007A271A">
        <w:rPr>
          <w:i/>
          <w:sz w:val="20"/>
          <w:szCs w:val="20"/>
        </w:rPr>
        <w:t>Higher Education in the learning society</w:t>
      </w:r>
      <w:r w:rsidRPr="002B2651">
        <w:rPr>
          <w:sz w:val="20"/>
          <w:szCs w:val="20"/>
        </w:rPr>
        <w:t xml:space="preserve">. </w:t>
      </w:r>
      <w:r w:rsidR="007A271A">
        <w:rPr>
          <w:sz w:val="20"/>
          <w:szCs w:val="20"/>
        </w:rPr>
        <w:t>London, Her Majesty's Stationery Office.</w:t>
      </w:r>
    </w:p>
    <w:p w14:paraId="0F155498" w14:textId="71BFA56F" w:rsidR="003F021C" w:rsidRPr="003F021C" w:rsidRDefault="009B4293" w:rsidP="003F021C">
      <w:pPr>
        <w:pStyle w:val="NormalWeb"/>
        <w:spacing w:before="240"/>
        <w:rPr>
          <w:i/>
          <w:sz w:val="20"/>
          <w:szCs w:val="20"/>
        </w:rPr>
      </w:pPr>
      <w:r>
        <w:rPr>
          <w:sz w:val="20"/>
          <w:szCs w:val="20"/>
        </w:rPr>
        <w:t>DOE (Department of Education</w:t>
      </w:r>
      <w:r w:rsidR="003F021C">
        <w:rPr>
          <w:sz w:val="20"/>
          <w:szCs w:val="20"/>
        </w:rPr>
        <w:t xml:space="preserve">). 2016a. </w:t>
      </w:r>
      <w:r w:rsidR="003F021C" w:rsidRPr="003F021C">
        <w:rPr>
          <w:i/>
          <w:sz w:val="20"/>
          <w:szCs w:val="20"/>
        </w:rPr>
        <w:t>Teaching Excellence Fr</w:t>
      </w:r>
      <w:r w:rsidR="003F021C">
        <w:rPr>
          <w:i/>
          <w:sz w:val="20"/>
          <w:szCs w:val="20"/>
        </w:rPr>
        <w:t xml:space="preserve">amework: year two specification. </w:t>
      </w:r>
      <w:r w:rsidR="003F021C">
        <w:rPr>
          <w:sz w:val="20"/>
          <w:szCs w:val="20"/>
        </w:rPr>
        <w:t>(</w:t>
      </w:r>
      <w:r w:rsidR="003F021C" w:rsidRPr="003F021C">
        <w:rPr>
          <w:sz w:val="20"/>
          <w:szCs w:val="20"/>
        </w:rPr>
        <w:t>September 2016</w:t>
      </w:r>
      <w:r w:rsidR="003F021C">
        <w:rPr>
          <w:sz w:val="20"/>
          <w:szCs w:val="20"/>
        </w:rPr>
        <w:t>).</w:t>
      </w:r>
    </w:p>
    <w:p w14:paraId="355F6BCD" w14:textId="38C99EF9" w:rsidR="009B4293" w:rsidRPr="002B2651" w:rsidRDefault="003F021C" w:rsidP="003F021C">
      <w:pPr>
        <w:pStyle w:val="NormalWeb"/>
        <w:rPr>
          <w:sz w:val="20"/>
          <w:szCs w:val="20"/>
        </w:rPr>
      </w:pPr>
      <w:r>
        <w:rPr>
          <w:sz w:val="20"/>
          <w:szCs w:val="20"/>
        </w:rPr>
        <w:t xml:space="preserve">DOE (Department of Education). 2016b. </w:t>
      </w:r>
      <w:r w:rsidRPr="003F021C">
        <w:rPr>
          <w:i/>
          <w:sz w:val="20"/>
          <w:szCs w:val="20"/>
        </w:rPr>
        <w:t xml:space="preserve">Teaching Excellence Framework: year two and beyond Government </w:t>
      </w:r>
      <w:r>
        <w:rPr>
          <w:i/>
          <w:sz w:val="20"/>
          <w:szCs w:val="20"/>
        </w:rPr>
        <w:t xml:space="preserve">technical consultation response. </w:t>
      </w:r>
      <w:r>
        <w:rPr>
          <w:sz w:val="20"/>
          <w:szCs w:val="20"/>
        </w:rPr>
        <w:t>(September 2016)</w:t>
      </w:r>
    </w:p>
    <w:p w14:paraId="2CB0BFAF" w14:textId="21F6387E" w:rsidR="003671F8" w:rsidRPr="002B2651" w:rsidRDefault="003671F8" w:rsidP="003671F8">
      <w:pPr>
        <w:spacing w:after="360"/>
        <w:rPr>
          <w:sz w:val="20"/>
          <w:szCs w:val="20"/>
        </w:rPr>
      </w:pPr>
      <w:r w:rsidRPr="002B2651">
        <w:rPr>
          <w:sz w:val="20"/>
          <w:szCs w:val="20"/>
        </w:rPr>
        <w:t xml:space="preserve">Elton, Lewis. 2001. Research and Teaching: conditions for a positive link. </w:t>
      </w:r>
      <w:r w:rsidR="007A271A">
        <w:rPr>
          <w:i/>
          <w:sz w:val="20"/>
          <w:szCs w:val="20"/>
        </w:rPr>
        <w:t xml:space="preserve">Teaching in Higher Education </w:t>
      </w:r>
      <w:r w:rsidR="007A271A">
        <w:rPr>
          <w:sz w:val="20"/>
          <w:szCs w:val="20"/>
        </w:rPr>
        <w:t xml:space="preserve">6(1): </w:t>
      </w:r>
      <w:r w:rsidRPr="002B2651">
        <w:rPr>
          <w:sz w:val="20"/>
          <w:szCs w:val="20"/>
        </w:rPr>
        <w:t>43-56.</w:t>
      </w:r>
    </w:p>
    <w:p w14:paraId="583785B5" w14:textId="62A5AB2A" w:rsidR="003671F8" w:rsidRPr="002B2651" w:rsidRDefault="003671F8" w:rsidP="003671F8">
      <w:pPr>
        <w:pStyle w:val="NormalWeb"/>
        <w:rPr>
          <w:sz w:val="20"/>
          <w:szCs w:val="20"/>
        </w:rPr>
      </w:pPr>
      <w:proofErr w:type="spellStart"/>
      <w:r w:rsidRPr="002B2651">
        <w:rPr>
          <w:sz w:val="20"/>
          <w:szCs w:val="20"/>
        </w:rPr>
        <w:t>Fanghanel</w:t>
      </w:r>
      <w:proofErr w:type="spellEnd"/>
      <w:r w:rsidRPr="002B2651">
        <w:rPr>
          <w:sz w:val="20"/>
          <w:szCs w:val="20"/>
        </w:rPr>
        <w:t xml:space="preserve">, Joelle. 2007. Teaching Excellence in context: Drawing from a socio-cultural approach. In </w:t>
      </w:r>
      <w:r w:rsidRPr="007A271A">
        <w:rPr>
          <w:i/>
          <w:sz w:val="20"/>
          <w:szCs w:val="20"/>
        </w:rPr>
        <w:t>International perspectives on teaching excellence in higher education</w:t>
      </w:r>
      <w:r w:rsidR="007A271A">
        <w:rPr>
          <w:sz w:val="20"/>
          <w:szCs w:val="20"/>
        </w:rPr>
        <w:t xml:space="preserve">, ed. </w:t>
      </w:r>
      <w:r w:rsidR="007A271A" w:rsidRPr="002B2651">
        <w:rPr>
          <w:sz w:val="20"/>
          <w:szCs w:val="20"/>
        </w:rPr>
        <w:t>Alan</w:t>
      </w:r>
      <w:r w:rsidR="007A271A">
        <w:rPr>
          <w:sz w:val="20"/>
          <w:szCs w:val="20"/>
        </w:rPr>
        <w:t xml:space="preserve"> </w:t>
      </w:r>
      <w:r w:rsidR="007A271A" w:rsidRPr="002B2651">
        <w:rPr>
          <w:sz w:val="20"/>
          <w:szCs w:val="20"/>
        </w:rPr>
        <w:t>Skelton,</w:t>
      </w:r>
      <w:r w:rsidR="007A271A">
        <w:rPr>
          <w:sz w:val="20"/>
          <w:szCs w:val="20"/>
        </w:rPr>
        <w:t xml:space="preserve"> 197-212. London:</w:t>
      </w:r>
      <w:r w:rsidRPr="002B2651">
        <w:rPr>
          <w:sz w:val="20"/>
          <w:szCs w:val="20"/>
        </w:rPr>
        <w:t xml:space="preserve"> Routledge</w:t>
      </w:r>
      <w:r w:rsidR="007A271A">
        <w:rPr>
          <w:sz w:val="20"/>
          <w:szCs w:val="20"/>
        </w:rPr>
        <w:t>.</w:t>
      </w:r>
      <w:r w:rsidRPr="002B2651">
        <w:rPr>
          <w:sz w:val="20"/>
          <w:szCs w:val="20"/>
        </w:rPr>
        <w:t xml:space="preserve"> </w:t>
      </w:r>
    </w:p>
    <w:p w14:paraId="6511529C" w14:textId="70651D93" w:rsidR="003671F8" w:rsidRPr="002B2651" w:rsidRDefault="003671F8" w:rsidP="003671F8">
      <w:pPr>
        <w:pStyle w:val="NormalWeb"/>
        <w:rPr>
          <w:sz w:val="20"/>
          <w:szCs w:val="20"/>
        </w:rPr>
      </w:pPr>
      <w:r w:rsidRPr="002B2651">
        <w:rPr>
          <w:sz w:val="20"/>
          <w:szCs w:val="20"/>
        </w:rPr>
        <w:t xml:space="preserve">Gibbs, Graham. 2010. </w:t>
      </w:r>
      <w:r w:rsidRPr="007A271A">
        <w:rPr>
          <w:i/>
          <w:sz w:val="20"/>
          <w:szCs w:val="20"/>
        </w:rPr>
        <w:t>Dimensions of quality</w:t>
      </w:r>
      <w:r w:rsidRPr="002B2651">
        <w:rPr>
          <w:sz w:val="20"/>
          <w:szCs w:val="20"/>
        </w:rPr>
        <w:t xml:space="preserve">. </w:t>
      </w:r>
      <w:r w:rsidR="007A271A">
        <w:rPr>
          <w:sz w:val="20"/>
          <w:szCs w:val="20"/>
        </w:rPr>
        <w:t>York: The Higher Education Academy.</w:t>
      </w:r>
    </w:p>
    <w:p w14:paraId="649B0D0D" w14:textId="4A5026E3" w:rsidR="003671F8" w:rsidRPr="002B2651" w:rsidRDefault="003671F8" w:rsidP="003671F8">
      <w:pPr>
        <w:pStyle w:val="NormalWeb"/>
        <w:rPr>
          <w:sz w:val="20"/>
          <w:szCs w:val="20"/>
        </w:rPr>
      </w:pPr>
      <w:r w:rsidRPr="002B2651">
        <w:rPr>
          <w:sz w:val="20"/>
          <w:szCs w:val="20"/>
        </w:rPr>
        <w:t>Griffiths, Ron. 2004. Knowledge production and the research–teaching nexus: the case of the b</w:t>
      </w:r>
      <w:r w:rsidR="007A271A">
        <w:rPr>
          <w:sz w:val="20"/>
          <w:szCs w:val="20"/>
        </w:rPr>
        <w:t>uilt environment disciplines</w:t>
      </w:r>
      <w:r w:rsidR="007A271A" w:rsidRPr="007A271A">
        <w:rPr>
          <w:i/>
          <w:sz w:val="20"/>
          <w:szCs w:val="20"/>
        </w:rPr>
        <w:t>.</w:t>
      </w:r>
      <w:r w:rsidRPr="007A271A">
        <w:rPr>
          <w:i/>
          <w:sz w:val="20"/>
          <w:szCs w:val="20"/>
        </w:rPr>
        <w:t xml:space="preserve"> Studies in Higher Education</w:t>
      </w:r>
      <w:r w:rsidR="007A271A">
        <w:rPr>
          <w:sz w:val="20"/>
          <w:szCs w:val="20"/>
        </w:rPr>
        <w:t xml:space="preserve"> </w:t>
      </w:r>
      <w:r w:rsidRPr="002B2651">
        <w:rPr>
          <w:sz w:val="20"/>
          <w:szCs w:val="20"/>
        </w:rPr>
        <w:t>29</w:t>
      </w:r>
      <w:r w:rsidR="007A271A">
        <w:rPr>
          <w:sz w:val="20"/>
          <w:szCs w:val="20"/>
        </w:rPr>
        <w:t>(6):</w:t>
      </w:r>
      <w:r w:rsidRPr="002B2651">
        <w:rPr>
          <w:sz w:val="20"/>
          <w:szCs w:val="20"/>
        </w:rPr>
        <w:t xml:space="preserve"> 709-726.</w:t>
      </w:r>
    </w:p>
    <w:p w14:paraId="30C83668" w14:textId="4B5AC864" w:rsidR="00C14606" w:rsidRPr="002B2651" w:rsidRDefault="007A271A" w:rsidP="003671F8">
      <w:pPr>
        <w:autoSpaceDE w:val="0"/>
        <w:autoSpaceDN w:val="0"/>
        <w:adjustRightInd w:val="0"/>
        <w:rPr>
          <w:color w:val="231F20"/>
          <w:sz w:val="20"/>
          <w:szCs w:val="20"/>
        </w:rPr>
      </w:pPr>
      <w:r>
        <w:rPr>
          <w:color w:val="231F20"/>
          <w:sz w:val="20"/>
          <w:szCs w:val="20"/>
        </w:rPr>
        <w:t xml:space="preserve">Gunn, Vicky and </w:t>
      </w:r>
      <w:r w:rsidR="003671F8" w:rsidRPr="002B2651">
        <w:rPr>
          <w:color w:val="231F20"/>
          <w:sz w:val="20"/>
          <w:szCs w:val="20"/>
        </w:rPr>
        <w:t>Anna</w:t>
      </w:r>
      <w:r>
        <w:rPr>
          <w:color w:val="231F20"/>
          <w:sz w:val="20"/>
          <w:szCs w:val="20"/>
        </w:rPr>
        <w:t xml:space="preserve"> Fisk</w:t>
      </w:r>
      <w:r w:rsidR="003671F8" w:rsidRPr="002B2651">
        <w:rPr>
          <w:color w:val="231F20"/>
          <w:sz w:val="20"/>
          <w:szCs w:val="20"/>
        </w:rPr>
        <w:t xml:space="preserve">. 2013. </w:t>
      </w:r>
      <w:r w:rsidR="003671F8" w:rsidRPr="007A271A">
        <w:rPr>
          <w:i/>
          <w:color w:val="231F20"/>
          <w:sz w:val="20"/>
          <w:szCs w:val="20"/>
        </w:rPr>
        <w:t>Considering teaching excellence in higher education: 2007-2013</w:t>
      </w:r>
      <w:r w:rsidR="003671F8" w:rsidRPr="002B2651">
        <w:rPr>
          <w:color w:val="231F20"/>
          <w:sz w:val="20"/>
          <w:szCs w:val="20"/>
        </w:rPr>
        <w:t xml:space="preserve">. </w:t>
      </w:r>
      <w:r w:rsidR="005C74F6">
        <w:rPr>
          <w:color w:val="231F20"/>
          <w:sz w:val="20"/>
          <w:szCs w:val="20"/>
        </w:rPr>
        <w:t xml:space="preserve">York: </w:t>
      </w:r>
      <w:r w:rsidR="003671F8" w:rsidRPr="002B2651">
        <w:rPr>
          <w:color w:val="231F20"/>
          <w:sz w:val="20"/>
          <w:szCs w:val="20"/>
        </w:rPr>
        <w:t>The Higher Education Academy.</w:t>
      </w:r>
    </w:p>
    <w:p w14:paraId="3D515916" w14:textId="1D308350" w:rsidR="00C14606" w:rsidRPr="002B2651" w:rsidRDefault="00C14606" w:rsidP="00C14606">
      <w:pPr>
        <w:autoSpaceDE w:val="0"/>
        <w:autoSpaceDN w:val="0"/>
        <w:adjustRightInd w:val="0"/>
        <w:rPr>
          <w:color w:val="231F20"/>
          <w:sz w:val="20"/>
          <w:szCs w:val="20"/>
        </w:rPr>
      </w:pPr>
    </w:p>
    <w:p w14:paraId="74D36C98" w14:textId="2B5132E8" w:rsidR="00C14606" w:rsidRPr="002B2651" w:rsidRDefault="00C14606" w:rsidP="00C14606">
      <w:pPr>
        <w:autoSpaceDE w:val="0"/>
        <w:autoSpaceDN w:val="0"/>
        <w:adjustRightInd w:val="0"/>
        <w:rPr>
          <w:color w:val="231F20"/>
          <w:sz w:val="20"/>
          <w:szCs w:val="20"/>
        </w:rPr>
      </w:pPr>
      <w:proofErr w:type="spellStart"/>
      <w:r w:rsidRPr="002B2651">
        <w:rPr>
          <w:color w:val="231F20"/>
          <w:sz w:val="20"/>
          <w:szCs w:val="20"/>
        </w:rPr>
        <w:t>Habermas</w:t>
      </w:r>
      <w:proofErr w:type="spellEnd"/>
      <w:r w:rsidRPr="002B2651">
        <w:rPr>
          <w:color w:val="231F20"/>
          <w:sz w:val="20"/>
          <w:szCs w:val="20"/>
        </w:rPr>
        <w:t xml:space="preserve">, Jürgen. 1973. </w:t>
      </w:r>
      <w:proofErr w:type="gramStart"/>
      <w:r w:rsidRPr="002B2651">
        <w:rPr>
          <w:color w:val="231F20"/>
          <w:sz w:val="20"/>
          <w:szCs w:val="20"/>
        </w:rPr>
        <w:t>Between</w:t>
      </w:r>
      <w:proofErr w:type="gramEnd"/>
      <w:r w:rsidRPr="002B2651">
        <w:rPr>
          <w:color w:val="231F20"/>
          <w:sz w:val="20"/>
          <w:szCs w:val="20"/>
        </w:rPr>
        <w:t xml:space="preserve"> Philosophy and Science: Marxism as Critique. In </w:t>
      </w:r>
      <w:r w:rsidRPr="007A271A">
        <w:rPr>
          <w:i/>
          <w:color w:val="231F20"/>
          <w:sz w:val="20"/>
          <w:szCs w:val="20"/>
        </w:rPr>
        <w:t>Theory and Practice</w:t>
      </w:r>
      <w:r w:rsidR="007A271A">
        <w:rPr>
          <w:color w:val="231F20"/>
          <w:sz w:val="20"/>
          <w:szCs w:val="20"/>
        </w:rPr>
        <w:t>, 195-252</w:t>
      </w:r>
      <w:r w:rsidRPr="002B2651">
        <w:rPr>
          <w:color w:val="231F20"/>
          <w:sz w:val="20"/>
          <w:szCs w:val="20"/>
        </w:rPr>
        <w:t xml:space="preserve">. </w:t>
      </w:r>
      <w:r w:rsidR="007A271A">
        <w:rPr>
          <w:color w:val="231F20"/>
          <w:sz w:val="20"/>
          <w:szCs w:val="20"/>
        </w:rPr>
        <w:t>London: Beacon Press.</w:t>
      </w:r>
    </w:p>
    <w:p w14:paraId="722550E7" w14:textId="77777777" w:rsidR="00C14606" w:rsidRPr="002B2651" w:rsidRDefault="00C14606" w:rsidP="00C14606">
      <w:pPr>
        <w:autoSpaceDE w:val="0"/>
        <w:autoSpaceDN w:val="0"/>
        <w:adjustRightInd w:val="0"/>
        <w:rPr>
          <w:color w:val="231F20"/>
          <w:sz w:val="20"/>
          <w:szCs w:val="20"/>
        </w:rPr>
      </w:pPr>
    </w:p>
    <w:p w14:paraId="7F21FD68" w14:textId="7A750F8C" w:rsidR="00C14606" w:rsidRPr="002B2651" w:rsidRDefault="00C14606" w:rsidP="00C14606">
      <w:pPr>
        <w:autoSpaceDE w:val="0"/>
        <w:autoSpaceDN w:val="0"/>
        <w:adjustRightInd w:val="0"/>
        <w:rPr>
          <w:color w:val="231F20"/>
          <w:sz w:val="20"/>
          <w:szCs w:val="20"/>
        </w:rPr>
      </w:pPr>
      <w:proofErr w:type="spellStart"/>
      <w:r w:rsidRPr="002B2651">
        <w:rPr>
          <w:color w:val="231F20"/>
          <w:sz w:val="20"/>
          <w:szCs w:val="20"/>
        </w:rPr>
        <w:t>Habermas</w:t>
      </w:r>
      <w:proofErr w:type="spellEnd"/>
      <w:r w:rsidRPr="002B2651">
        <w:rPr>
          <w:color w:val="231F20"/>
          <w:sz w:val="20"/>
          <w:szCs w:val="20"/>
        </w:rPr>
        <w:t xml:space="preserve">, Jürgen. 1976. </w:t>
      </w:r>
      <w:r w:rsidRPr="007A271A">
        <w:rPr>
          <w:i/>
          <w:color w:val="231F20"/>
          <w:sz w:val="20"/>
          <w:szCs w:val="20"/>
        </w:rPr>
        <w:t>Legitimation Crisis</w:t>
      </w:r>
      <w:r w:rsidRPr="002B2651">
        <w:rPr>
          <w:color w:val="231F20"/>
          <w:sz w:val="20"/>
          <w:szCs w:val="20"/>
        </w:rPr>
        <w:t>. Polity Press, Cambridge.</w:t>
      </w:r>
    </w:p>
    <w:p w14:paraId="4DF7F644" w14:textId="77777777" w:rsidR="003671F8" w:rsidRPr="002B2651" w:rsidRDefault="003671F8" w:rsidP="003671F8">
      <w:pPr>
        <w:autoSpaceDE w:val="0"/>
        <w:autoSpaceDN w:val="0"/>
        <w:adjustRightInd w:val="0"/>
        <w:rPr>
          <w:color w:val="231F20"/>
          <w:sz w:val="20"/>
          <w:szCs w:val="20"/>
        </w:rPr>
      </w:pPr>
    </w:p>
    <w:p w14:paraId="3CAF6146" w14:textId="6960A482" w:rsidR="003671F8" w:rsidRPr="002B2651" w:rsidRDefault="003671F8" w:rsidP="003671F8">
      <w:pPr>
        <w:spacing w:after="360"/>
        <w:rPr>
          <w:sz w:val="20"/>
          <w:szCs w:val="20"/>
        </w:rPr>
      </w:pPr>
      <w:r w:rsidRPr="002B2651">
        <w:rPr>
          <w:sz w:val="20"/>
          <w:szCs w:val="20"/>
        </w:rPr>
        <w:t>Harland, Tony. 2016. T</w:t>
      </w:r>
      <w:r w:rsidR="007A271A">
        <w:rPr>
          <w:sz w:val="20"/>
          <w:szCs w:val="20"/>
        </w:rPr>
        <w:t xml:space="preserve">eaching to enhance research. </w:t>
      </w:r>
      <w:r w:rsidRPr="007A271A">
        <w:rPr>
          <w:i/>
          <w:sz w:val="20"/>
          <w:szCs w:val="20"/>
        </w:rPr>
        <w:t>Higher Education Research &amp; Development</w:t>
      </w:r>
      <w:r w:rsidR="007A271A">
        <w:rPr>
          <w:i/>
          <w:sz w:val="20"/>
          <w:szCs w:val="20"/>
        </w:rPr>
        <w:t xml:space="preserve"> </w:t>
      </w:r>
      <w:r w:rsidRPr="002B2651">
        <w:rPr>
          <w:sz w:val="20"/>
          <w:szCs w:val="20"/>
        </w:rPr>
        <w:t>35</w:t>
      </w:r>
      <w:r w:rsidR="007A271A">
        <w:rPr>
          <w:sz w:val="20"/>
          <w:szCs w:val="20"/>
        </w:rPr>
        <w:t>(3)</w:t>
      </w:r>
      <w:r w:rsidRPr="002B2651">
        <w:rPr>
          <w:sz w:val="20"/>
          <w:szCs w:val="20"/>
        </w:rPr>
        <w:t xml:space="preserve">: 461-472. </w:t>
      </w:r>
    </w:p>
    <w:p w14:paraId="1E6199F1" w14:textId="74AE5B6C" w:rsidR="00EF5844" w:rsidRPr="002B2651" w:rsidRDefault="00EF5844" w:rsidP="00EF5844">
      <w:pPr>
        <w:spacing w:after="360"/>
        <w:rPr>
          <w:sz w:val="20"/>
          <w:szCs w:val="20"/>
        </w:rPr>
      </w:pPr>
      <w:r w:rsidRPr="002B2651">
        <w:rPr>
          <w:sz w:val="20"/>
          <w:szCs w:val="20"/>
        </w:rPr>
        <w:t xml:space="preserve">Harvey, David. 2014. </w:t>
      </w:r>
      <w:r w:rsidRPr="007A271A">
        <w:rPr>
          <w:i/>
          <w:sz w:val="20"/>
          <w:szCs w:val="20"/>
        </w:rPr>
        <w:t xml:space="preserve">Seventeen Contradictions and </w:t>
      </w:r>
      <w:proofErr w:type="gramStart"/>
      <w:r w:rsidRPr="007A271A">
        <w:rPr>
          <w:i/>
          <w:sz w:val="20"/>
          <w:szCs w:val="20"/>
        </w:rPr>
        <w:t>The</w:t>
      </w:r>
      <w:proofErr w:type="gramEnd"/>
      <w:r w:rsidRPr="007A271A">
        <w:rPr>
          <w:i/>
          <w:sz w:val="20"/>
          <w:szCs w:val="20"/>
        </w:rPr>
        <w:t xml:space="preserve"> End of Capitalism</w:t>
      </w:r>
      <w:r w:rsidRPr="002B2651">
        <w:rPr>
          <w:sz w:val="20"/>
          <w:szCs w:val="20"/>
        </w:rPr>
        <w:t xml:space="preserve">. </w:t>
      </w:r>
      <w:r w:rsidR="007A271A">
        <w:rPr>
          <w:sz w:val="20"/>
          <w:szCs w:val="20"/>
        </w:rPr>
        <w:t>London: Profile Books.</w:t>
      </w:r>
    </w:p>
    <w:p w14:paraId="2F339AB7" w14:textId="52330763" w:rsidR="003671F8" w:rsidRPr="002B2651" w:rsidRDefault="003671F8" w:rsidP="003671F8">
      <w:pPr>
        <w:pStyle w:val="NormalWeb"/>
        <w:rPr>
          <w:sz w:val="20"/>
          <w:szCs w:val="20"/>
        </w:rPr>
      </w:pPr>
      <w:r w:rsidRPr="002B2651">
        <w:rPr>
          <w:sz w:val="20"/>
          <w:szCs w:val="20"/>
        </w:rPr>
        <w:t>Hattie, J</w:t>
      </w:r>
      <w:r w:rsidR="005C74F6">
        <w:rPr>
          <w:sz w:val="20"/>
          <w:szCs w:val="20"/>
        </w:rPr>
        <w:t>ohn</w:t>
      </w:r>
      <w:r w:rsidRPr="002B2651">
        <w:rPr>
          <w:sz w:val="20"/>
          <w:szCs w:val="20"/>
        </w:rPr>
        <w:t xml:space="preserve"> and </w:t>
      </w:r>
      <w:r w:rsidR="005C74F6">
        <w:rPr>
          <w:sz w:val="20"/>
          <w:szCs w:val="20"/>
        </w:rPr>
        <w:t xml:space="preserve">Herbert W. Marsh. </w:t>
      </w:r>
      <w:r w:rsidRPr="002B2651">
        <w:rPr>
          <w:sz w:val="20"/>
          <w:szCs w:val="20"/>
        </w:rPr>
        <w:t xml:space="preserve">1996. The relationship between research and teaching—a meta-analysis. </w:t>
      </w:r>
      <w:r w:rsidRPr="005C74F6">
        <w:rPr>
          <w:i/>
          <w:sz w:val="20"/>
          <w:szCs w:val="20"/>
        </w:rPr>
        <w:t>Review of Educational Research</w:t>
      </w:r>
      <w:r w:rsidR="005C74F6">
        <w:rPr>
          <w:sz w:val="20"/>
          <w:szCs w:val="20"/>
        </w:rPr>
        <w:t xml:space="preserve"> </w:t>
      </w:r>
      <w:r w:rsidRPr="002B2651">
        <w:rPr>
          <w:sz w:val="20"/>
          <w:szCs w:val="20"/>
        </w:rPr>
        <w:t xml:space="preserve">66: 507–542. </w:t>
      </w:r>
    </w:p>
    <w:p w14:paraId="69C3219D" w14:textId="7812B1FE" w:rsidR="003671F8" w:rsidRPr="002B2651" w:rsidRDefault="005C74F6" w:rsidP="005C74F6">
      <w:pPr>
        <w:pStyle w:val="NormalWeb"/>
        <w:rPr>
          <w:sz w:val="20"/>
          <w:szCs w:val="20"/>
        </w:rPr>
      </w:pPr>
      <w:r w:rsidRPr="002B2651">
        <w:rPr>
          <w:sz w:val="20"/>
          <w:szCs w:val="20"/>
        </w:rPr>
        <w:t>Hattie, J</w:t>
      </w:r>
      <w:r>
        <w:rPr>
          <w:sz w:val="20"/>
          <w:szCs w:val="20"/>
        </w:rPr>
        <w:t>ohn</w:t>
      </w:r>
      <w:r w:rsidRPr="002B2651">
        <w:rPr>
          <w:sz w:val="20"/>
          <w:szCs w:val="20"/>
        </w:rPr>
        <w:t xml:space="preserve"> and </w:t>
      </w:r>
      <w:r>
        <w:rPr>
          <w:sz w:val="20"/>
          <w:szCs w:val="20"/>
        </w:rPr>
        <w:t>Herbert W. Marsh</w:t>
      </w:r>
      <w:r w:rsidR="003671F8" w:rsidRPr="002B2651">
        <w:rPr>
          <w:sz w:val="20"/>
          <w:szCs w:val="20"/>
        </w:rPr>
        <w:t xml:space="preserve">. 2004. </w:t>
      </w:r>
      <w:r w:rsidR="003671F8" w:rsidRPr="005C74F6">
        <w:rPr>
          <w:i/>
          <w:sz w:val="20"/>
          <w:szCs w:val="20"/>
        </w:rPr>
        <w:t>One Journey to Unravel the Relationship between Research and Teaching. Conference Paper</w:t>
      </w:r>
      <w:r>
        <w:rPr>
          <w:sz w:val="20"/>
          <w:szCs w:val="20"/>
        </w:rPr>
        <w:t>.</w:t>
      </w:r>
      <w:r w:rsidR="003671F8" w:rsidRPr="002B2651">
        <w:rPr>
          <w:sz w:val="20"/>
          <w:szCs w:val="20"/>
        </w:rPr>
        <w:t xml:space="preserve"> </w:t>
      </w:r>
      <w:r w:rsidR="00373324">
        <w:rPr>
          <w:sz w:val="20"/>
          <w:szCs w:val="20"/>
        </w:rPr>
        <w:t>Conference presentation. R</w:t>
      </w:r>
      <w:r w:rsidRPr="005C74F6">
        <w:rPr>
          <w:sz w:val="20"/>
          <w:szCs w:val="20"/>
        </w:rPr>
        <w:t>etrieved from</w:t>
      </w:r>
      <w:r>
        <w:rPr>
          <w:sz w:val="20"/>
          <w:szCs w:val="20"/>
        </w:rPr>
        <w:t xml:space="preserve"> </w:t>
      </w:r>
      <w:hyperlink r:id="rId8" w:history="1">
        <w:r w:rsidR="003671F8" w:rsidRPr="002B2651">
          <w:rPr>
            <w:rStyle w:val="Hyperlink"/>
            <w:sz w:val="20"/>
            <w:szCs w:val="20"/>
          </w:rPr>
          <w:t>https://cdn.auckland.ac.nz/assets/education/hattie/docs/relationship-between-research-and-teaching-(2004).pdf</w:t>
        </w:r>
      </w:hyperlink>
      <w:r w:rsidR="003671F8" w:rsidRPr="002B2651">
        <w:rPr>
          <w:sz w:val="20"/>
          <w:szCs w:val="20"/>
        </w:rPr>
        <w:t>.</w:t>
      </w:r>
    </w:p>
    <w:p w14:paraId="7DED7AA5" w14:textId="2722007C" w:rsidR="003671F8" w:rsidRPr="002B2651" w:rsidRDefault="003671F8" w:rsidP="003671F8">
      <w:pPr>
        <w:autoSpaceDE w:val="0"/>
        <w:autoSpaceDN w:val="0"/>
        <w:adjustRightInd w:val="0"/>
        <w:rPr>
          <w:color w:val="231F20"/>
          <w:sz w:val="20"/>
          <w:szCs w:val="20"/>
        </w:rPr>
      </w:pPr>
      <w:r w:rsidRPr="002B2651">
        <w:rPr>
          <w:color w:val="231F20"/>
          <w:sz w:val="20"/>
          <w:szCs w:val="20"/>
        </w:rPr>
        <w:t xml:space="preserve">Healey, Mick. 2005. Linking Research and Teaching to Benefit Student Learning. </w:t>
      </w:r>
      <w:r w:rsidRPr="005C74F6">
        <w:rPr>
          <w:i/>
          <w:color w:val="231F20"/>
          <w:sz w:val="20"/>
          <w:szCs w:val="20"/>
        </w:rPr>
        <w:t>Journal of Geography in Higher Education</w:t>
      </w:r>
      <w:r w:rsidR="005C74F6">
        <w:rPr>
          <w:color w:val="231F20"/>
          <w:sz w:val="20"/>
          <w:szCs w:val="20"/>
        </w:rPr>
        <w:t xml:space="preserve"> </w:t>
      </w:r>
      <w:r w:rsidRPr="002B2651">
        <w:rPr>
          <w:color w:val="231F20"/>
          <w:sz w:val="20"/>
          <w:szCs w:val="20"/>
        </w:rPr>
        <w:t>29</w:t>
      </w:r>
      <w:r w:rsidR="005C74F6">
        <w:rPr>
          <w:color w:val="231F20"/>
          <w:sz w:val="20"/>
          <w:szCs w:val="20"/>
        </w:rPr>
        <w:t>(2)</w:t>
      </w:r>
      <w:r w:rsidRPr="002B2651">
        <w:rPr>
          <w:color w:val="231F20"/>
          <w:sz w:val="20"/>
          <w:szCs w:val="20"/>
        </w:rPr>
        <w:t>: 183-201.</w:t>
      </w:r>
    </w:p>
    <w:p w14:paraId="0F451E95" w14:textId="669A5FD1" w:rsidR="003671F8" w:rsidRDefault="00B309AE" w:rsidP="003671F8">
      <w:pPr>
        <w:pStyle w:val="NormalWeb"/>
        <w:rPr>
          <w:sz w:val="20"/>
          <w:szCs w:val="20"/>
        </w:rPr>
      </w:pPr>
      <w:r w:rsidRPr="002B2651">
        <w:rPr>
          <w:sz w:val="20"/>
          <w:szCs w:val="20"/>
        </w:rPr>
        <w:t>H</w:t>
      </w:r>
      <w:r w:rsidR="003671F8" w:rsidRPr="002B2651">
        <w:rPr>
          <w:sz w:val="20"/>
          <w:szCs w:val="20"/>
        </w:rPr>
        <w:t>ealey, M</w:t>
      </w:r>
      <w:r w:rsidR="005C74F6">
        <w:rPr>
          <w:sz w:val="20"/>
          <w:szCs w:val="20"/>
        </w:rPr>
        <w:t>ick</w:t>
      </w:r>
      <w:r w:rsidR="003671F8" w:rsidRPr="002B2651">
        <w:rPr>
          <w:sz w:val="20"/>
          <w:szCs w:val="20"/>
        </w:rPr>
        <w:t xml:space="preserve">, </w:t>
      </w:r>
      <w:r w:rsidR="005C74F6">
        <w:rPr>
          <w:sz w:val="20"/>
          <w:szCs w:val="20"/>
        </w:rPr>
        <w:t xml:space="preserve">Alan </w:t>
      </w:r>
      <w:r w:rsidR="003671F8" w:rsidRPr="002B2651">
        <w:rPr>
          <w:sz w:val="20"/>
          <w:szCs w:val="20"/>
        </w:rPr>
        <w:t>Jenkins and</w:t>
      </w:r>
      <w:r w:rsidR="005C74F6">
        <w:rPr>
          <w:sz w:val="20"/>
          <w:szCs w:val="20"/>
        </w:rPr>
        <w:t xml:space="preserve"> Roger </w:t>
      </w:r>
      <w:proofErr w:type="spellStart"/>
      <w:r w:rsidR="005C74F6">
        <w:rPr>
          <w:sz w:val="20"/>
          <w:szCs w:val="20"/>
        </w:rPr>
        <w:t>Zetter</w:t>
      </w:r>
      <w:proofErr w:type="spellEnd"/>
      <w:r w:rsidR="003671F8" w:rsidRPr="002B2651">
        <w:rPr>
          <w:sz w:val="20"/>
          <w:szCs w:val="20"/>
        </w:rPr>
        <w:t xml:space="preserve"> 2007. </w:t>
      </w:r>
      <w:r w:rsidR="003671F8" w:rsidRPr="005C74F6">
        <w:rPr>
          <w:i/>
          <w:sz w:val="20"/>
          <w:szCs w:val="20"/>
        </w:rPr>
        <w:t>Linking Teaching and Research in Disciplines and Departments</w:t>
      </w:r>
      <w:r w:rsidR="005C74F6">
        <w:rPr>
          <w:sz w:val="20"/>
          <w:szCs w:val="20"/>
        </w:rPr>
        <w:t xml:space="preserve">. </w:t>
      </w:r>
      <w:r w:rsidR="005C74F6" w:rsidRPr="002B2651">
        <w:rPr>
          <w:sz w:val="20"/>
          <w:szCs w:val="20"/>
        </w:rPr>
        <w:t>York</w:t>
      </w:r>
      <w:r w:rsidR="005C74F6">
        <w:rPr>
          <w:sz w:val="20"/>
          <w:szCs w:val="20"/>
        </w:rPr>
        <w:t>: The Higher Education Academy</w:t>
      </w:r>
      <w:r w:rsidR="003671F8" w:rsidRPr="002B2651">
        <w:rPr>
          <w:sz w:val="20"/>
          <w:szCs w:val="20"/>
        </w:rPr>
        <w:t xml:space="preserve">. </w:t>
      </w:r>
    </w:p>
    <w:p w14:paraId="69B2F40C" w14:textId="4DCAA57C" w:rsidR="003671F8" w:rsidRPr="002B2651" w:rsidRDefault="003671F8" w:rsidP="003671F8">
      <w:pPr>
        <w:pStyle w:val="NormalWeb"/>
        <w:rPr>
          <w:sz w:val="20"/>
          <w:szCs w:val="20"/>
        </w:rPr>
      </w:pPr>
      <w:r w:rsidRPr="002B2651">
        <w:rPr>
          <w:sz w:val="20"/>
          <w:szCs w:val="20"/>
        </w:rPr>
        <w:t xml:space="preserve">HM Treasury. 2015. </w:t>
      </w:r>
      <w:r w:rsidRPr="005C74F6">
        <w:rPr>
          <w:i/>
          <w:sz w:val="20"/>
          <w:szCs w:val="20"/>
        </w:rPr>
        <w:t>Fixing the foundations: Creating a more prosperous nation</w:t>
      </w:r>
      <w:r w:rsidRPr="002B2651">
        <w:rPr>
          <w:sz w:val="20"/>
          <w:szCs w:val="20"/>
        </w:rPr>
        <w:t xml:space="preserve">. </w:t>
      </w:r>
      <w:r w:rsidR="005C74F6">
        <w:rPr>
          <w:sz w:val="20"/>
          <w:szCs w:val="20"/>
        </w:rPr>
        <w:t>(</w:t>
      </w:r>
      <w:r w:rsidRPr="002B2651">
        <w:rPr>
          <w:sz w:val="20"/>
          <w:szCs w:val="20"/>
        </w:rPr>
        <w:t>July 2015</w:t>
      </w:r>
      <w:r w:rsidR="005C74F6">
        <w:rPr>
          <w:sz w:val="20"/>
          <w:szCs w:val="20"/>
        </w:rPr>
        <w:t>)</w:t>
      </w:r>
      <w:r w:rsidRPr="002B2651">
        <w:rPr>
          <w:sz w:val="20"/>
          <w:szCs w:val="20"/>
        </w:rPr>
        <w:t>.</w:t>
      </w:r>
    </w:p>
    <w:p w14:paraId="2BEA00FA" w14:textId="171070DC" w:rsidR="003671F8" w:rsidRPr="002B2651" w:rsidRDefault="005C74F6" w:rsidP="003671F8">
      <w:pPr>
        <w:pStyle w:val="NormalWeb"/>
        <w:rPr>
          <w:sz w:val="20"/>
          <w:szCs w:val="20"/>
        </w:rPr>
      </w:pPr>
      <w:r>
        <w:rPr>
          <w:sz w:val="20"/>
          <w:szCs w:val="20"/>
        </w:rPr>
        <w:t>H</w:t>
      </w:r>
      <w:r w:rsidR="003671F8" w:rsidRPr="002B2651">
        <w:rPr>
          <w:sz w:val="20"/>
          <w:szCs w:val="20"/>
        </w:rPr>
        <w:t xml:space="preserve">ouse of Commons Business, Innovation and Skills Committee. 2009. </w:t>
      </w:r>
      <w:r w:rsidR="003671F8" w:rsidRPr="005C74F6">
        <w:rPr>
          <w:i/>
          <w:sz w:val="20"/>
          <w:szCs w:val="20"/>
        </w:rPr>
        <w:t>Students and Universities: Eleventh Report of Session 2008-9. Volume II.</w:t>
      </w:r>
    </w:p>
    <w:p w14:paraId="4B343B74" w14:textId="14D41972" w:rsidR="003671F8" w:rsidRPr="002B2651" w:rsidRDefault="003671F8" w:rsidP="003671F8">
      <w:pPr>
        <w:pStyle w:val="NormalWeb"/>
        <w:rPr>
          <w:sz w:val="20"/>
          <w:szCs w:val="20"/>
        </w:rPr>
      </w:pPr>
      <w:r w:rsidRPr="002B2651">
        <w:rPr>
          <w:sz w:val="20"/>
          <w:szCs w:val="20"/>
        </w:rPr>
        <w:lastRenderedPageBreak/>
        <w:t xml:space="preserve">House of Commons Business, Innovation and Skills Committee. 2016. </w:t>
      </w:r>
      <w:r w:rsidRPr="005C74F6">
        <w:rPr>
          <w:i/>
          <w:sz w:val="20"/>
          <w:szCs w:val="20"/>
        </w:rPr>
        <w:t>The Teaching Excellence Framework: Assessing quality in Higher Education Third Report of Session 2015–16</w:t>
      </w:r>
      <w:r w:rsidR="005C74F6">
        <w:rPr>
          <w:sz w:val="20"/>
          <w:szCs w:val="20"/>
        </w:rPr>
        <w:t>.</w:t>
      </w:r>
    </w:p>
    <w:p w14:paraId="2DD9B9AB" w14:textId="38E2528A" w:rsidR="003671F8" w:rsidRPr="002B2651" w:rsidRDefault="003671F8" w:rsidP="003671F8">
      <w:pPr>
        <w:pStyle w:val="NormalWeb"/>
        <w:rPr>
          <w:sz w:val="20"/>
          <w:szCs w:val="20"/>
        </w:rPr>
      </w:pPr>
      <w:r w:rsidRPr="002B2651">
        <w:rPr>
          <w:sz w:val="20"/>
          <w:szCs w:val="20"/>
        </w:rPr>
        <w:t xml:space="preserve">Hutchins, Robert Maynard. 1968. </w:t>
      </w:r>
      <w:r w:rsidRPr="005C74F6">
        <w:rPr>
          <w:i/>
          <w:sz w:val="20"/>
          <w:szCs w:val="20"/>
        </w:rPr>
        <w:t>The Learning Society</w:t>
      </w:r>
      <w:r w:rsidR="005C74F6">
        <w:rPr>
          <w:sz w:val="20"/>
          <w:szCs w:val="20"/>
        </w:rPr>
        <w:t xml:space="preserve">. </w:t>
      </w:r>
      <w:r w:rsidR="005C74F6" w:rsidRPr="002B2651">
        <w:rPr>
          <w:sz w:val="20"/>
          <w:szCs w:val="20"/>
        </w:rPr>
        <w:t>New York, Washington &amp; London</w:t>
      </w:r>
      <w:r w:rsidR="005C74F6">
        <w:rPr>
          <w:sz w:val="20"/>
          <w:szCs w:val="20"/>
        </w:rPr>
        <w:t xml:space="preserve">: F. A </w:t>
      </w:r>
      <w:proofErr w:type="spellStart"/>
      <w:r w:rsidR="005C74F6">
        <w:rPr>
          <w:sz w:val="20"/>
          <w:szCs w:val="20"/>
        </w:rPr>
        <w:t>Praeger</w:t>
      </w:r>
      <w:proofErr w:type="spellEnd"/>
      <w:r w:rsidRPr="002B2651">
        <w:rPr>
          <w:sz w:val="20"/>
          <w:szCs w:val="20"/>
        </w:rPr>
        <w:t>.</w:t>
      </w:r>
    </w:p>
    <w:p w14:paraId="14B49783" w14:textId="2E61AC73" w:rsidR="003671F8" w:rsidRPr="002B2651" w:rsidRDefault="003671F8" w:rsidP="003671F8">
      <w:pPr>
        <w:spacing w:before="100" w:beforeAutospacing="1" w:after="100" w:afterAutospacing="1"/>
        <w:rPr>
          <w:sz w:val="20"/>
          <w:szCs w:val="20"/>
        </w:rPr>
      </w:pPr>
      <w:r w:rsidRPr="002B2651">
        <w:rPr>
          <w:color w:val="231F20"/>
          <w:sz w:val="20"/>
          <w:szCs w:val="20"/>
        </w:rPr>
        <w:t xml:space="preserve">Hughes, Mark. 2005. </w:t>
      </w:r>
      <w:r w:rsidRPr="002B2651">
        <w:rPr>
          <w:sz w:val="20"/>
          <w:szCs w:val="20"/>
        </w:rPr>
        <w:t xml:space="preserve">The Mythology of Research and Teaching Relationships in Universities. In </w:t>
      </w:r>
      <w:proofErr w:type="gramStart"/>
      <w:r w:rsidRPr="005C74F6">
        <w:rPr>
          <w:i/>
          <w:iCs/>
          <w:sz w:val="20"/>
          <w:szCs w:val="20"/>
        </w:rPr>
        <w:t>Reshaping</w:t>
      </w:r>
      <w:proofErr w:type="gramEnd"/>
      <w:r w:rsidRPr="005C74F6">
        <w:rPr>
          <w:i/>
          <w:iCs/>
          <w:sz w:val="20"/>
          <w:szCs w:val="20"/>
        </w:rPr>
        <w:t xml:space="preserve"> the university: new relationships between research, scholarship and teaching</w:t>
      </w:r>
      <w:r w:rsidR="005C74F6">
        <w:rPr>
          <w:sz w:val="20"/>
          <w:szCs w:val="20"/>
        </w:rPr>
        <w:t>, ed.</w:t>
      </w:r>
      <w:r w:rsidRPr="002B2651">
        <w:rPr>
          <w:sz w:val="20"/>
          <w:szCs w:val="20"/>
        </w:rPr>
        <w:t xml:space="preserve"> </w:t>
      </w:r>
      <w:r w:rsidR="005C74F6">
        <w:rPr>
          <w:sz w:val="20"/>
          <w:szCs w:val="20"/>
        </w:rPr>
        <w:t>Ronald Barnett</w:t>
      </w:r>
      <w:r w:rsidR="00A7459A">
        <w:rPr>
          <w:sz w:val="20"/>
          <w:szCs w:val="20"/>
        </w:rPr>
        <w:t>, 14-26</w:t>
      </w:r>
      <w:r w:rsidR="005C74F6">
        <w:rPr>
          <w:sz w:val="20"/>
          <w:szCs w:val="20"/>
        </w:rPr>
        <w:t xml:space="preserve">. Maidenhead: </w:t>
      </w:r>
      <w:r w:rsidRPr="002B2651">
        <w:rPr>
          <w:sz w:val="20"/>
          <w:szCs w:val="20"/>
        </w:rPr>
        <w:t>McG</w:t>
      </w:r>
      <w:r w:rsidR="005C74F6">
        <w:rPr>
          <w:sz w:val="20"/>
          <w:szCs w:val="20"/>
        </w:rPr>
        <w:t>raw-Hill/Open University Press.</w:t>
      </w:r>
    </w:p>
    <w:p w14:paraId="6F252D84" w14:textId="75B3A5DB" w:rsidR="003671F8" w:rsidRDefault="003671F8" w:rsidP="003671F8">
      <w:pPr>
        <w:spacing w:after="360"/>
        <w:rPr>
          <w:sz w:val="20"/>
          <w:szCs w:val="20"/>
          <w:lang w:val="en"/>
        </w:rPr>
      </w:pPr>
      <w:r w:rsidRPr="002B2651">
        <w:rPr>
          <w:sz w:val="20"/>
          <w:szCs w:val="20"/>
          <w:lang w:val="en-US"/>
        </w:rPr>
        <w:t xml:space="preserve">Jacobsen, Douglas and Rhonda </w:t>
      </w:r>
      <w:proofErr w:type="spellStart"/>
      <w:r w:rsidRPr="002B2651">
        <w:rPr>
          <w:sz w:val="20"/>
          <w:szCs w:val="20"/>
          <w:lang w:val="en-US"/>
        </w:rPr>
        <w:t>Hustedt</w:t>
      </w:r>
      <w:proofErr w:type="spellEnd"/>
      <w:r w:rsidR="005C74F6">
        <w:rPr>
          <w:sz w:val="20"/>
          <w:szCs w:val="20"/>
          <w:lang w:val="en-US"/>
        </w:rPr>
        <w:t xml:space="preserve"> </w:t>
      </w:r>
      <w:r w:rsidR="005C74F6" w:rsidRPr="002B2651">
        <w:rPr>
          <w:sz w:val="20"/>
          <w:szCs w:val="20"/>
          <w:lang w:val="en-US"/>
        </w:rPr>
        <w:t>Jaco</w:t>
      </w:r>
      <w:r w:rsidR="005C74F6">
        <w:rPr>
          <w:sz w:val="20"/>
          <w:szCs w:val="20"/>
          <w:lang w:val="en-US"/>
        </w:rPr>
        <w:t xml:space="preserve">bsen. </w:t>
      </w:r>
      <w:r w:rsidRPr="002B2651">
        <w:rPr>
          <w:sz w:val="20"/>
          <w:szCs w:val="20"/>
          <w:lang w:val="en-US"/>
        </w:rPr>
        <w:t xml:space="preserve">2014. The Religious Roots of Ernest L. Boyer's Educational Vision: A Theology of Public Pietism. </w:t>
      </w:r>
      <w:r w:rsidRPr="005C74F6">
        <w:rPr>
          <w:i/>
          <w:sz w:val="20"/>
          <w:szCs w:val="20"/>
          <w:lang w:val="en"/>
        </w:rPr>
        <w:t>Christian Higher Education</w:t>
      </w:r>
      <w:r w:rsidR="005C74F6">
        <w:rPr>
          <w:sz w:val="20"/>
          <w:szCs w:val="20"/>
          <w:lang w:val="en"/>
        </w:rPr>
        <w:t xml:space="preserve"> </w:t>
      </w:r>
      <w:r w:rsidRPr="002B2651">
        <w:rPr>
          <w:sz w:val="20"/>
          <w:szCs w:val="20"/>
          <w:lang w:val="en"/>
        </w:rPr>
        <w:t>13</w:t>
      </w:r>
      <w:r w:rsidR="005C74F6">
        <w:rPr>
          <w:sz w:val="20"/>
          <w:szCs w:val="20"/>
          <w:lang w:val="en"/>
        </w:rPr>
        <w:t>(1)</w:t>
      </w:r>
      <w:r w:rsidRPr="002B2651">
        <w:rPr>
          <w:sz w:val="20"/>
          <w:szCs w:val="20"/>
          <w:lang w:val="en"/>
        </w:rPr>
        <w:t>: 17-28.</w:t>
      </w:r>
    </w:p>
    <w:p w14:paraId="2E0840E5" w14:textId="6E2E32A7" w:rsidR="00497E3D" w:rsidRDefault="00497E3D" w:rsidP="00497E3D">
      <w:pPr>
        <w:spacing w:after="360"/>
        <w:rPr>
          <w:sz w:val="20"/>
          <w:szCs w:val="20"/>
          <w:lang w:val="en"/>
        </w:rPr>
      </w:pPr>
      <w:proofErr w:type="spellStart"/>
      <w:r>
        <w:rPr>
          <w:sz w:val="20"/>
          <w:szCs w:val="20"/>
          <w:lang w:val="en"/>
        </w:rPr>
        <w:t>Jantsch</w:t>
      </w:r>
      <w:proofErr w:type="spellEnd"/>
      <w:r>
        <w:rPr>
          <w:sz w:val="20"/>
          <w:szCs w:val="20"/>
          <w:lang w:val="en"/>
        </w:rPr>
        <w:t xml:space="preserve">, Erich. 1970. </w:t>
      </w:r>
      <w:r w:rsidRPr="00497E3D">
        <w:rPr>
          <w:sz w:val="20"/>
          <w:szCs w:val="20"/>
          <w:lang w:val="en"/>
        </w:rPr>
        <w:t>Inter- and Transdisciplinary University: A systems approach to education and innovation</w:t>
      </w:r>
      <w:r>
        <w:rPr>
          <w:sz w:val="20"/>
          <w:szCs w:val="20"/>
          <w:lang w:val="en"/>
        </w:rPr>
        <w:t xml:space="preserve">. </w:t>
      </w:r>
      <w:r w:rsidRPr="00497E3D">
        <w:rPr>
          <w:i/>
          <w:sz w:val="20"/>
          <w:szCs w:val="20"/>
          <w:lang w:val="en"/>
        </w:rPr>
        <w:t>Policy Sciences</w:t>
      </w:r>
      <w:r>
        <w:rPr>
          <w:i/>
          <w:sz w:val="20"/>
          <w:szCs w:val="20"/>
          <w:lang w:val="en"/>
        </w:rPr>
        <w:t xml:space="preserve"> </w:t>
      </w:r>
      <w:r>
        <w:rPr>
          <w:sz w:val="20"/>
          <w:szCs w:val="20"/>
          <w:lang w:val="en"/>
        </w:rPr>
        <w:t>1(1): 403-428.</w:t>
      </w:r>
    </w:p>
    <w:p w14:paraId="2465BD9B" w14:textId="59EA02EF" w:rsidR="00497E3D" w:rsidRDefault="00497E3D" w:rsidP="003671F8">
      <w:pPr>
        <w:spacing w:after="360"/>
        <w:rPr>
          <w:sz w:val="20"/>
          <w:szCs w:val="20"/>
        </w:rPr>
      </w:pPr>
      <w:proofErr w:type="spellStart"/>
      <w:r>
        <w:rPr>
          <w:sz w:val="20"/>
          <w:szCs w:val="20"/>
          <w:lang w:val="en"/>
        </w:rPr>
        <w:t>Jantsch</w:t>
      </w:r>
      <w:proofErr w:type="spellEnd"/>
      <w:r>
        <w:rPr>
          <w:sz w:val="20"/>
          <w:szCs w:val="20"/>
          <w:lang w:val="en"/>
        </w:rPr>
        <w:t xml:space="preserve">, Erich. 1972. </w:t>
      </w:r>
      <w:proofErr w:type="spellStart"/>
      <w:r w:rsidRPr="00497E3D">
        <w:rPr>
          <w:sz w:val="20"/>
          <w:szCs w:val="20"/>
          <w:lang w:val="en"/>
        </w:rPr>
        <w:t>Vers</w:t>
      </w:r>
      <w:proofErr w:type="spellEnd"/>
      <w:r w:rsidRPr="00497E3D">
        <w:rPr>
          <w:sz w:val="20"/>
          <w:szCs w:val="20"/>
          <w:lang w:val="en"/>
        </w:rPr>
        <w:t xml:space="preserve"> </w:t>
      </w:r>
      <w:proofErr w:type="spellStart"/>
      <w:r w:rsidRPr="00497E3D">
        <w:rPr>
          <w:sz w:val="20"/>
          <w:szCs w:val="20"/>
          <w:lang w:val="en"/>
        </w:rPr>
        <w:t>l’interdisciplinarité</w:t>
      </w:r>
      <w:proofErr w:type="spellEnd"/>
      <w:r w:rsidRPr="00497E3D">
        <w:rPr>
          <w:sz w:val="20"/>
          <w:szCs w:val="20"/>
          <w:lang w:val="en"/>
        </w:rPr>
        <w:t xml:space="preserve"> </w:t>
      </w:r>
      <w:proofErr w:type="gramStart"/>
      <w:r w:rsidRPr="00497E3D">
        <w:rPr>
          <w:sz w:val="20"/>
          <w:szCs w:val="20"/>
          <w:lang w:val="en"/>
        </w:rPr>
        <w:t>et</w:t>
      </w:r>
      <w:proofErr w:type="gramEnd"/>
      <w:r w:rsidRPr="00497E3D">
        <w:rPr>
          <w:sz w:val="20"/>
          <w:szCs w:val="20"/>
          <w:lang w:val="en"/>
        </w:rPr>
        <w:t xml:space="preserve"> la </w:t>
      </w:r>
      <w:proofErr w:type="spellStart"/>
      <w:r w:rsidRPr="00497E3D">
        <w:rPr>
          <w:sz w:val="20"/>
          <w:szCs w:val="20"/>
          <w:lang w:val="en"/>
        </w:rPr>
        <w:t>transdisciplinarité</w:t>
      </w:r>
      <w:proofErr w:type="spellEnd"/>
      <w:r w:rsidRPr="00497E3D">
        <w:rPr>
          <w:sz w:val="20"/>
          <w:szCs w:val="20"/>
          <w:lang w:val="en"/>
        </w:rPr>
        <w:t xml:space="preserve"> </w:t>
      </w:r>
      <w:proofErr w:type="spellStart"/>
      <w:r w:rsidRPr="00497E3D">
        <w:rPr>
          <w:sz w:val="20"/>
          <w:szCs w:val="20"/>
          <w:lang w:val="en"/>
        </w:rPr>
        <w:t>dans</w:t>
      </w:r>
      <w:proofErr w:type="spellEnd"/>
      <w:r>
        <w:rPr>
          <w:sz w:val="20"/>
          <w:szCs w:val="20"/>
          <w:lang w:val="en"/>
        </w:rPr>
        <w:t xml:space="preserve"> </w:t>
      </w:r>
      <w:proofErr w:type="spellStart"/>
      <w:r>
        <w:rPr>
          <w:sz w:val="20"/>
          <w:szCs w:val="20"/>
          <w:lang w:val="en"/>
        </w:rPr>
        <w:t>l’enseignement</w:t>
      </w:r>
      <w:proofErr w:type="spellEnd"/>
      <w:r>
        <w:rPr>
          <w:sz w:val="20"/>
          <w:szCs w:val="20"/>
          <w:lang w:val="en"/>
        </w:rPr>
        <w:t xml:space="preserve"> et </w:t>
      </w:r>
      <w:proofErr w:type="spellStart"/>
      <w:r>
        <w:rPr>
          <w:sz w:val="20"/>
          <w:szCs w:val="20"/>
          <w:lang w:val="en"/>
        </w:rPr>
        <w:t>l’innovation</w:t>
      </w:r>
      <w:proofErr w:type="spellEnd"/>
      <w:r w:rsidR="00AC641A">
        <w:rPr>
          <w:sz w:val="20"/>
          <w:szCs w:val="20"/>
          <w:lang w:val="en"/>
        </w:rPr>
        <w:t xml:space="preserve"> [</w:t>
      </w:r>
      <w:r w:rsidR="00AC641A" w:rsidRPr="00AC641A">
        <w:rPr>
          <w:sz w:val="20"/>
          <w:szCs w:val="20"/>
          <w:lang w:val="en"/>
        </w:rPr>
        <w:t xml:space="preserve">Towards </w:t>
      </w:r>
      <w:proofErr w:type="spellStart"/>
      <w:r w:rsidR="00AC641A" w:rsidRPr="00AC641A">
        <w:rPr>
          <w:sz w:val="20"/>
          <w:szCs w:val="20"/>
          <w:lang w:val="en"/>
        </w:rPr>
        <w:t>interdisciplinar</w:t>
      </w:r>
      <w:r w:rsidR="000022D0">
        <w:rPr>
          <w:sz w:val="20"/>
          <w:szCs w:val="20"/>
          <w:lang w:val="en"/>
        </w:rPr>
        <w:t>it</w:t>
      </w:r>
      <w:r w:rsidR="00AC641A" w:rsidRPr="00AC641A">
        <w:rPr>
          <w:sz w:val="20"/>
          <w:szCs w:val="20"/>
          <w:lang w:val="en"/>
        </w:rPr>
        <w:t>y</w:t>
      </w:r>
      <w:proofErr w:type="spellEnd"/>
      <w:r w:rsidR="00AC641A" w:rsidRPr="00AC641A">
        <w:rPr>
          <w:sz w:val="20"/>
          <w:szCs w:val="20"/>
          <w:lang w:val="en"/>
        </w:rPr>
        <w:t xml:space="preserve"> and </w:t>
      </w:r>
      <w:proofErr w:type="spellStart"/>
      <w:r w:rsidR="00AC641A" w:rsidRPr="00AC641A">
        <w:rPr>
          <w:sz w:val="20"/>
          <w:szCs w:val="20"/>
          <w:lang w:val="en"/>
        </w:rPr>
        <w:t>transdisciplinar</w:t>
      </w:r>
      <w:r w:rsidR="000022D0">
        <w:rPr>
          <w:sz w:val="20"/>
          <w:szCs w:val="20"/>
          <w:lang w:val="en"/>
        </w:rPr>
        <w:t>it</w:t>
      </w:r>
      <w:r w:rsidR="00AC641A" w:rsidRPr="00AC641A">
        <w:rPr>
          <w:sz w:val="20"/>
          <w:szCs w:val="20"/>
          <w:lang w:val="en"/>
        </w:rPr>
        <w:t>y</w:t>
      </w:r>
      <w:proofErr w:type="spellEnd"/>
      <w:r w:rsidR="00AC641A" w:rsidRPr="00AC641A">
        <w:rPr>
          <w:sz w:val="20"/>
          <w:szCs w:val="20"/>
          <w:lang w:val="en"/>
        </w:rPr>
        <w:t xml:space="preserve"> in education and innovation</w:t>
      </w:r>
      <w:r w:rsidR="00AC641A">
        <w:rPr>
          <w:sz w:val="20"/>
          <w:szCs w:val="20"/>
          <w:lang w:val="en"/>
        </w:rPr>
        <w:t>]</w:t>
      </w:r>
      <w:r>
        <w:rPr>
          <w:sz w:val="20"/>
          <w:szCs w:val="20"/>
          <w:lang w:val="en"/>
        </w:rPr>
        <w:t xml:space="preserve">. </w:t>
      </w:r>
      <w:r w:rsidRPr="002B2651">
        <w:rPr>
          <w:sz w:val="20"/>
          <w:szCs w:val="20"/>
        </w:rPr>
        <w:t xml:space="preserve">In </w:t>
      </w:r>
      <w:proofErr w:type="spellStart"/>
      <w:r w:rsidRPr="00A7459A">
        <w:rPr>
          <w:i/>
          <w:sz w:val="20"/>
          <w:szCs w:val="20"/>
        </w:rPr>
        <w:t>Interdisciplinarity</w:t>
      </w:r>
      <w:proofErr w:type="spellEnd"/>
      <w:r w:rsidRPr="00A7459A">
        <w:rPr>
          <w:i/>
          <w:sz w:val="20"/>
          <w:szCs w:val="20"/>
        </w:rPr>
        <w:t>: Problems of Teaching and Research</w:t>
      </w:r>
      <w:r>
        <w:rPr>
          <w:sz w:val="20"/>
          <w:szCs w:val="20"/>
        </w:rPr>
        <w:t xml:space="preserve">, eds. L. </w:t>
      </w:r>
      <w:proofErr w:type="spellStart"/>
      <w:r w:rsidRPr="002B2651">
        <w:rPr>
          <w:sz w:val="20"/>
          <w:szCs w:val="20"/>
        </w:rPr>
        <w:t>Apostel</w:t>
      </w:r>
      <w:proofErr w:type="spellEnd"/>
      <w:r w:rsidRPr="002B2651">
        <w:rPr>
          <w:sz w:val="20"/>
          <w:szCs w:val="20"/>
        </w:rPr>
        <w:t>,</w:t>
      </w:r>
      <w:r>
        <w:rPr>
          <w:sz w:val="20"/>
          <w:szCs w:val="20"/>
        </w:rPr>
        <w:t xml:space="preserve"> G. </w:t>
      </w:r>
      <w:r w:rsidRPr="002B2651">
        <w:rPr>
          <w:sz w:val="20"/>
          <w:szCs w:val="20"/>
        </w:rPr>
        <w:t>Berger,</w:t>
      </w:r>
      <w:r>
        <w:rPr>
          <w:sz w:val="20"/>
          <w:szCs w:val="20"/>
        </w:rPr>
        <w:t xml:space="preserve"> A. Briggs </w:t>
      </w:r>
      <w:r w:rsidRPr="002B2651">
        <w:rPr>
          <w:sz w:val="20"/>
          <w:szCs w:val="20"/>
        </w:rPr>
        <w:t>and</w:t>
      </w:r>
      <w:r>
        <w:rPr>
          <w:sz w:val="20"/>
          <w:szCs w:val="20"/>
        </w:rPr>
        <w:t xml:space="preserve"> G.</w:t>
      </w:r>
      <w:r w:rsidRPr="002B2651">
        <w:rPr>
          <w:sz w:val="20"/>
          <w:szCs w:val="20"/>
        </w:rPr>
        <w:t xml:space="preserve"> Michaud, </w:t>
      </w:r>
      <w:r>
        <w:rPr>
          <w:sz w:val="20"/>
          <w:szCs w:val="20"/>
        </w:rPr>
        <w:t xml:space="preserve">127-139. Paris: OECD. </w:t>
      </w:r>
    </w:p>
    <w:p w14:paraId="1AD8C6F1" w14:textId="6E279E33" w:rsidR="003671F8" w:rsidRPr="00497E3D" w:rsidRDefault="003671F8" w:rsidP="003671F8">
      <w:pPr>
        <w:spacing w:after="360"/>
        <w:rPr>
          <w:sz w:val="20"/>
          <w:szCs w:val="20"/>
        </w:rPr>
      </w:pPr>
      <w:r w:rsidRPr="002B2651">
        <w:rPr>
          <w:sz w:val="20"/>
          <w:szCs w:val="20"/>
          <w:lang w:val="en"/>
        </w:rPr>
        <w:t>Jenkins, Alan and</w:t>
      </w:r>
      <w:r w:rsidR="005C74F6">
        <w:rPr>
          <w:sz w:val="20"/>
          <w:szCs w:val="20"/>
          <w:lang w:val="en"/>
        </w:rPr>
        <w:t xml:space="preserve"> </w:t>
      </w:r>
      <w:r w:rsidRPr="002B2651">
        <w:rPr>
          <w:sz w:val="20"/>
          <w:szCs w:val="20"/>
          <w:lang w:val="en"/>
        </w:rPr>
        <w:t>Mick</w:t>
      </w:r>
      <w:r w:rsidR="005C74F6">
        <w:rPr>
          <w:sz w:val="20"/>
          <w:szCs w:val="20"/>
          <w:lang w:val="en"/>
        </w:rPr>
        <w:t xml:space="preserve"> </w:t>
      </w:r>
      <w:r w:rsidR="005C74F6" w:rsidRPr="002B2651">
        <w:rPr>
          <w:sz w:val="20"/>
          <w:szCs w:val="20"/>
          <w:lang w:val="en"/>
        </w:rPr>
        <w:t>Healey</w:t>
      </w:r>
      <w:r w:rsidRPr="002B2651">
        <w:rPr>
          <w:sz w:val="20"/>
          <w:szCs w:val="20"/>
          <w:lang w:val="en"/>
        </w:rPr>
        <w:t xml:space="preserve">. 2005. </w:t>
      </w:r>
      <w:r w:rsidRPr="005C74F6">
        <w:rPr>
          <w:i/>
          <w:sz w:val="20"/>
          <w:szCs w:val="20"/>
          <w:lang w:val="en"/>
        </w:rPr>
        <w:t xml:space="preserve">Institutional strategies to link teaching and research. </w:t>
      </w:r>
      <w:r w:rsidR="005C74F6">
        <w:rPr>
          <w:sz w:val="20"/>
          <w:szCs w:val="20"/>
          <w:lang w:val="en"/>
        </w:rPr>
        <w:t xml:space="preserve">York: </w:t>
      </w:r>
      <w:r w:rsidRPr="002B2651">
        <w:rPr>
          <w:sz w:val="20"/>
          <w:szCs w:val="20"/>
          <w:lang w:val="en"/>
        </w:rPr>
        <w:t>The Higher Education Academy</w:t>
      </w:r>
      <w:r w:rsidR="005C74F6">
        <w:rPr>
          <w:sz w:val="20"/>
          <w:szCs w:val="20"/>
          <w:lang w:val="en"/>
        </w:rPr>
        <w:t>.</w:t>
      </w:r>
    </w:p>
    <w:p w14:paraId="0954CD0B" w14:textId="37EE9EE4" w:rsidR="003671F8" w:rsidRPr="002B2651" w:rsidRDefault="003671F8" w:rsidP="003671F8">
      <w:pPr>
        <w:spacing w:before="100" w:beforeAutospacing="1" w:after="100" w:afterAutospacing="1"/>
        <w:rPr>
          <w:sz w:val="20"/>
          <w:szCs w:val="20"/>
        </w:rPr>
      </w:pPr>
      <w:proofErr w:type="spellStart"/>
      <w:r w:rsidRPr="002B2651">
        <w:rPr>
          <w:sz w:val="20"/>
          <w:szCs w:val="20"/>
        </w:rPr>
        <w:t>Johnes</w:t>
      </w:r>
      <w:proofErr w:type="spellEnd"/>
      <w:r w:rsidRPr="002B2651">
        <w:rPr>
          <w:sz w:val="20"/>
          <w:szCs w:val="20"/>
        </w:rPr>
        <w:t xml:space="preserve">, Martin. 2006. Students Perceptions of Research in Teaching-Led Higher Education. </w:t>
      </w:r>
      <w:r w:rsidRPr="00373324">
        <w:rPr>
          <w:i/>
          <w:sz w:val="20"/>
          <w:szCs w:val="20"/>
        </w:rPr>
        <w:t>Journal of Hospitality, Leisure, Sport and Tourism Education</w:t>
      </w:r>
      <w:r w:rsidR="00373324">
        <w:rPr>
          <w:sz w:val="20"/>
          <w:szCs w:val="20"/>
        </w:rPr>
        <w:t xml:space="preserve"> </w:t>
      </w:r>
      <w:r w:rsidRPr="002B2651">
        <w:rPr>
          <w:sz w:val="20"/>
          <w:szCs w:val="20"/>
        </w:rPr>
        <w:t>5</w:t>
      </w:r>
      <w:r w:rsidR="00373324">
        <w:rPr>
          <w:sz w:val="20"/>
          <w:szCs w:val="20"/>
        </w:rPr>
        <w:t>(1)</w:t>
      </w:r>
      <w:r w:rsidRPr="002B2651">
        <w:rPr>
          <w:sz w:val="20"/>
          <w:szCs w:val="20"/>
        </w:rPr>
        <w:t>: 28-40.</w:t>
      </w:r>
    </w:p>
    <w:p w14:paraId="154AD76C" w14:textId="3387C828" w:rsidR="003671F8" w:rsidRPr="002B2651" w:rsidRDefault="003671F8" w:rsidP="003671F8">
      <w:pPr>
        <w:spacing w:after="360"/>
        <w:rPr>
          <w:sz w:val="20"/>
          <w:szCs w:val="20"/>
          <w:lang w:val="en-US"/>
        </w:rPr>
      </w:pPr>
      <w:proofErr w:type="spellStart"/>
      <w:r w:rsidRPr="002B2651">
        <w:rPr>
          <w:sz w:val="20"/>
          <w:szCs w:val="20"/>
          <w:lang w:val="en-US"/>
        </w:rPr>
        <w:t>Katkin</w:t>
      </w:r>
      <w:proofErr w:type="spellEnd"/>
      <w:r w:rsidRPr="002B2651">
        <w:rPr>
          <w:sz w:val="20"/>
          <w:szCs w:val="20"/>
          <w:lang w:val="en-US"/>
        </w:rPr>
        <w:t xml:space="preserve">, Wendy. 2003. The Boyer Commission Report and Its Impact on Undergraduate Research. </w:t>
      </w:r>
      <w:r w:rsidRPr="00373324">
        <w:rPr>
          <w:i/>
          <w:sz w:val="20"/>
          <w:szCs w:val="20"/>
          <w:lang w:val="en-US"/>
        </w:rPr>
        <w:t xml:space="preserve">New Directions </w:t>
      </w:r>
      <w:proofErr w:type="gramStart"/>
      <w:r w:rsidRPr="00373324">
        <w:rPr>
          <w:i/>
          <w:sz w:val="20"/>
          <w:szCs w:val="20"/>
          <w:lang w:val="en-US"/>
        </w:rPr>
        <w:t>For</w:t>
      </w:r>
      <w:proofErr w:type="gramEnd"/>
      <w:r w:rsidRPr="00373324">
        <w:rPr>
          <w:i/>
          <w:sz w:val="20"/>
          <w:szCs w:val="20"/>
          <w:lang w:val="en-US"/>
        </w:rPr>
        <w:t xml:space="preserve"> Teaching and Learning</w:t>
      </w:r>
      <w:r w:rsidR="00373324">
        <w:rPr>
          <w:sz w:val="20"/>
          <w:szCs w:val="20"/>
          <w:lang w:val="en-US"/>
        </w:rPr>
        <w:t xml:space="preserve"> </w:t>
      </w:r>
      <w:r w:rsidRPr="002B2651">
        <w:rPr>
          <w:sz w:val="20"/>
          <w:szCs w:val="20"/>
          <w:lang w:val="en-US"/>
        </w:rPr>
        <w:t xml:space="preserve">93: 19-38. </w:t>
      </w:r>
    </w:p>
    <w:p w14:paraId="67C1E1D1" w14:textId="44751814" w:rsidR="00D31AD9" w:rsidRPr="002B2651" w:rsidRDefault="00D31AD9" w:rsidP="003671F8">
      <w:pPr>
        <w:spacing w:after="360"/>
        <w:rPr>
          <w:sz w:val="20"/>
          <w:szCs w:val="20"/>
          <w:lang w:val="en-US"/>
        </w:rPr>
      </w:pPr>
      <w:r w:rsidRPr="002B2651">
        <w:rPr>
          <w:sz w:val="20"/>
          <w:szCs w:val="20"/>
          <w:lang w:val="en-US"/>
        </w:rPr>
        <w:t xml:space="preserve">Kemp-King, Stephen. 2016. </w:t>
      </w:r>
      <w:r w:rsidRPr="00373324">
        <w:rPr>
          <w:i/>
          <w:sz w:val="20"/>
          <w:szCs w:val="20"/>
          <w:lang w:val="en-US"/>
        </w:rPr>
        <w:t xml:space="preserve">The Graduate Premium: manna, myth or plain </w:t>
      </w:r>
      <w:proofErr w:type="spellStart"/>
      <w:r w:rsidRPr="00373324">
        <w:rPr>
          <w:i/>
          <w:sz w:val="20"/>
          <w:szCs w:val="20"/>
          <w:lang w:val="en-US"/>
        </w:rPr>
        <w:t>mis</w:t>
      </w:r>
      <w:proofErr w:type="spellEnd"/>
      <w:r w:rsidRPr="00373324">
        <w:rPr>
          <w:i/>
          <w:sz w:val="20"/>
          <w:szCs w:val="20"/>
          <w:lang w:val="en-US"/>
        </w:rPr>
        <w:t>-selling</w:t>
      </w:r>
      <w:r w:rsidR="00014689" w:rsidRPr="002B2651">
        <w:rPr>
          <w:sz w:val="20"/>
          <w:szCs w:val="20"/>
          <w:lang w:val="en-US"/>
        </w:rPr>
        <w:t>.</w:t>
      </w:r>
      <w:r w:rsidR="00373324">
        <w:rPr>
          <w:sz w:val="20"/>
          <w:szCs w:val="20"/>
          <w:lang w:val="en-US"/>
        </w:rPr>
        <w:t xml:space="preserve"> London:</w:t>
      </w:r>
      <w:r w:rsidR="00014689" w:rsidRPr="002B2651">
        <w:rPr>
          <w:sz w:val="20"/>
          <w:szCs w:val="20"/>
          <w:lang w:val="en-US"/>
        </w:rPr>
        <w:t xml:space="preserve"> Interg</w:t>
      </w:r>
      <w:r w:rsidR="00373324">
        <w:rPr>
          <w:sz w:val="20"/>
          <w:szCs w:val="20"/>
          <w:lang w:val="en-US"/>
        </w:rPr>
        <w:t>enerational Foundation.</w:t>
      </w:r>
    </w:p>
    <w:p w14:paraId="7336F517" w14:textId="3132B32C" w:rsidR="003671F8" w:rsidRPr="002B2651" w:rsidRDefault="003671F8" w:rsidP="003671F8">
      <w:pPr>
        <w:spacing w:after="360"/>
        <w:rPr>
          <w:sz w:val="20"/>
          <w:szCs w:val="20"/>
          <w:lang w:val="en-US"/>
        </w:rPr>
      </w:pPr>
      <w:proofErr w:type="spellStart"/>
      <w:r w:rsidRPr="002B2651">
        <w:rPr>
          <w:sz w:val="20"/>
          <w:szCs w:val="20"/>
          <w:lang w:val="en-US"/>
        </w:rPr>
        <w:t>Kernohan</w:t>
      </w:r>
      <w:proofErr w:type="spellEnd"/>
      <w:r w:rsidRPr="002B2651">
        <w:rPr>
          <w:sz w:val="20"/>
          <w:szCs w:val="20"/>
          <w:lang w:val="en-US"/>
        </w:rPr>
        <w:t xml:space="preserve">, David. 2015. The TEF’s first assessment. </w:t>
      </w:r>
      <w:proofErr w:type="spellStart"/>
      <w:r w:rsidRPr="00373324">
        <w:rPr>
          <w:i/>
          <w:sz w:val="20"/>
          <w:szCs w:val="20"/>
          <w:lang w:val="en-US"/>
        </w:rPr>
        <w:t>Wonkhe</w:t>
      </w:r>
      <w:proofErr w:type="spellEnd"/>
      <w:r w:rsidRPr="002B2651">
        <w:rPr>
          <w:sz w:val="20"/>
          <w:szCs w:val="20"/>
          <w:lang w:val="en-US"/>
        </w:rPr>
        <w:t xml:space="preserve">. </w:t>
      </w:r>
      <w:r w:rsidR="00373324">
        <w:rPr>
          <w:sz w:val="20"/>
          <w:szCs w:val="20"/>
        </w:rPr>
        <w:t>R</w:t>
      </w:r>
      <w:r w:rsidR="00373324" w:rsidRPr="005C74F6">
        <w:rPr>
          <w:sz w:val="20"/>
          <w:szCs w:val="20"/>
        </w:rPr>
        <w:t>etrieved from</w:t>
      </w:r>
      <w:r w:rsidR="00373324">
        <w:rPr>
          <w:sz w:val="20"/>
          <w:szCs w:val="20"/>
        </w:rPr>
        <w:t xml:space="preserve"> </w:t>
      </w:r>
      <w:hyperlink r:id="rId9" w:history="1">
        <w:r w:rsidRPr="002B2651">
          <w:rPr>
            <w:rStyle w:val="Hyperlink"/>
            <w:sz w:val="20"/>
            <w:szCs w:val="20"/>
            <w:lang w:val="en-US"/>
          </w:rPr>
          <w:t>http://wonkhe.com/blogs/the-tefs-first-assessment</w:t>
        </w:r>
      </w:hyperlink>
      <w:r w:rsidRPr="002B2651">
        <w:rPr>
          <w:rStyle w:val="Hyperlink"/>
          <w:sz w:val="20"/>
          <w:szCs w:val="20"/>
          <w:lang w:val="en-US"/>
        </w:rPr>
        <w:t>.</w:t>
      </w:r>
    </w:p>
    <w:p w14:paraId="1E656FAA" w14:textId="027DFBCD" w:rsidR="003671F8" w:rsidRDefault="003671F8" w:rsidP="003671F8">
      <w:pPr>
        <w:spacing w:after="360"/>
        <w:rPr>
          <w:sz w:val="20"/>
          <w:szCs w:val="20"/>
        </w:rPr>
      </w:pPr>
      <w:proofErr w:type="spellStart"/>
      <w:r w:rsidRPr="002B2651">
        <w:rPr>
          <w:sz w:val="20"/>
          <w:szCs w:val="20"/>
        </w:rPr>
        <w:t>Kreber</w:t>
      </w:r>
      <w:proofErr w:type="spellEnd"/>
      <w:r w:rsidRPr="002B2651">
        <w:rPr>
          <w:sz w:val="20"/>
          <w:szCs w:val="20"/>
        </w:rPr>
        <w:t xml:space="preserve">, </w:t>
      </w:r>
      <w:proofErr w:type="spellStart"/>
      <w:r w:rsidRPr="002B2651">
        <w:rPr>
          <w:sz w:val="20"/>
          <w:szCs w:val="20"/>
        </w:rPr>
        <w:t>C</w:t>
      </w:r>
      <w:r w:rsidR="00373324">
        <w:rPr>
          <w:sz w:val="20"/>
          <w:szCs w:val="20"/>
        </w:rPr>
        <w:t>arolin</w:t>
      </w:r>
      <w:proofErr w:type="spellEnd"/>
      <w:r w:rsidRPr="002B2651">
        <w:rPr>
          <w:sz w:val="20"/>
          <w:szCs w:val="20"/>
        </w:rPr>
        <w:t xml:space="preserve"> and</w:t>
      </w:r>
      <w:r w:rsidR="00373324">
        <w:rPr>
          <w:sz w:val="20"/>
          <w:szCs w:val="20"/>
        </w:rPr>
        <w:t xml:space="preserve"> Patricia A. </w:t>
      </w:r>
      <w:proofErr w:type="spellStart"/>
      <w:r w:rsidR="00373324">
        <w:rPr>
          <w:sz w:val="20"/>
          <w:szCs w:val="20"/>
        </w:rPr>
        <w:t>Cranton</w:t>
      </w:r>
      <w:proofErr w:type="spellEnd"/>
      <w:r w:rsidRPr="002B2651">
        <w:rPr>
          <w:sz w:val="20"/>
          <w:szCs w:val="20"/>
        </w:rPr>
        <w:t xml:space="preserve">. 2000. Exploring the scholarship of teaching. </w:t>
      </w:r>
      <w:r w:rsidR="00373324">
        <w:rPr>
          <w:i/>
          <w:sz w:val="20"/>
          <w:szCs w:val="20"/>
        </w:rPr>
        <w:t xml:space="preserve">The Journal of Higher Education </w:t>
      </w:r>
      <w:r w:rsidR="00373324">
        <w:rPr>
          <w:sz w:val="20"/>
          <w:szCs w:val="20"/>
        </w:rPr>
        <w:t>71(4):</w:t>
      </w:r>
      <w:r w:rsidRPr="002B2651">
        <w:rPr>
          <w:sz w:val="20"/>
          <w:szCs w:val="20"/>
        </w:rPr>
        <w:t xml:space="preserve"> 476-95.   </w:t>
      </w:r>
    </w:p>
    <w:p w14:paraId="34798D6C" w14:textId="2FFBC121" w:rsidR="003671F8" w:rsidRPr="002B2651" w:rsidRDefault="003671F8" w:rsidP="003671F8">
      <w:pPr>
        <w:spacing w:after="360"/>
        <w:rPr>
          <w:sz w:val="20"/>
          <w:szCs w:val="20"/>
        </w:rPr>
      </w:pPr>
      <w:r w:rsidRPr="002B2651">
        <w:rPr>
          <w:sz w:val="20"/>
          <w:szCs w:val="20"/>
        </w:rPr>
        <w:t xml:space="preserve">LSE. 2011. Research led teaching: A conference for Russell Group institutions hosted at LSE. </w:t>
      </w:r>
      <w:r w:rsidRPr="00373324">
        <w:rPr>
          <w:i/>
          <w:sz w:val="20"/>
          <w:szCs w:val="20"/>
        </w:rPr>
        <w:t>Teaching Matters</w:t>
      </w:r>
      <w:r w:rsidRPr="002B2651">
        <w:rPr>
          <w:sz w:val="20"/>
          <w:szCs w:val="20"/>
        </w:rPr>
        <w:t xml:space="preserve"> (March 2011). </w:t>
      </w:r>
      <w:r w:rsidR="00373324">
        <w:rPr>
          <w:sz w:val="20"/>
          <w:szCs w:val="20"/>
        </w:rPr>
        <w:t xml:space="preserve">Retrieved from </w:t>
      </w:r>
      <w:hyperlink r:id="rId10" w:history="1">
        <w:r w:rsidRPr="002B2651">
          <w:rPr>
            <w:rStyle w:val="Hyperlink"/>
            <w:sz w:val="20"/>
            <w:szCs w:val="20"/>
          </w:rPr>
          <w:t>http://www.lse.ac.uk/intranet/LSEServices/TLC/Publication%20files/RLT-feature-within-TM-(amended-p.1)-FINAL.pdf</w:t>
        </w:r>
      </w:hyperlink>
      <w:r w:rsidR="00373324">
        <w:rPr>
          <w:sz w:val="20"/>
          <w:szCs w:val="20"/>
        </w:rPr>
        <w:t>.</w:t>
      </w:r>
    </w:p>
    <w:p w14:paraId="363338B5" w14:textId="0BD41ED7" w:rsidR="003671F8" w:rsidRPr="002B2651" w:rsidRDefault="003671F8" w:rsidP="003671F8">
      <w:pPr>
        <w:spacing w:after="360"/>
        <w:rPr>
          <w:sz w:val="20"/>
          <w:szCs w:val="20"/>
          <w:lang w:val="en-US"/>
        </w:rPr>
      </w:pPr>
      <w:r w:rsidRPr="002B2651">
        <w:rPr>
          <w:sz w:val="20"/>
          <w:szCs w:val="20"/>
        </w:rPr>
        <w:t xml:space="preserve">Martin, E., </w:t>
      </w:r>
      <w:r w:rsidR="00373324">
        <w:rPr>
          <w:sz w:val="20"/>
          <w:szCs w:val="20"/>
        </w:rPr>
        <w:t xml:space="preserve">J. </w:t>
      </w:r>
      <w:r w:rsidRPr="002B2651">
        <w:rPr>
          <w:sz w:val="20"/>
          <w:szCs w:val="20"/>
        </w:rPr>
        <w:t xml:space="preserve">Benjamin, </w:t>
      </w:r>
      <w:r w:rsidR="00373324">
        <w:rPr>
          <w:sz w:val="20"/>
          <w:szCs w:val="20"/>
        </w:rPr>
        <w:t xml:space="preserve">M. Prosser and K. </w:t>
      </w:r>
      <w:proofErr w:type="spellStart"/>
      <w:r w:rsidRPr="002B2651">
        <w:rPr>
          <w:sz w:val="20"/>
          <w:szCs w:val="20"/>
        </w:rPr>
        <w:t>Trigwell</w:t>
      </w:r>
      <w:proofErr w:type="spellEnd"/>
      <w:r w:rsidRPr="002B2651">
        <w:rPr>
          <w:sz w:val="20"/>
          <w:szCs w:val="20"/>
        </w:rPr>
        <w:t xml:space="preserve">. 1999. Scholarship of teaching: a study of the approaches of academic staff. In </w:t>
      </w:r>
      <w:r w:rsidRPr="00373324">
        <w:rPr>
          <w:i/>
          <w:sz w:val="20"/>
          <w:szCs w:val="20"/>
        </w:rPr>
        <w:t>Improving Student Learning: Improving Student Learning Outcomes</w:t>
      </w:r>
      <w:r w:rsidR="00373324">
        <w:rPr>
          <w:sz w:val="20"/>
          <w:szCs w:val="20"/>
        </w:rPr>
        <w:t>.</w:t>
      </w:r>
      <w:r w:rsidRPr="002B2651">
        <w:rPr>
          <w:sz w:val="20"/>
          <w:szCs w:val="20"/>
        </w:rPr>
        <w:t xml:space="preserve"> </w:t>
      </w:r>
      <w:r w:rsidRPr="00373324">
        <w:rPr>
          <w:i/>
          <w:sz w:val="20"/>
          <w:szCs w:val="20"/>
        </w:rPr>
        <w:t xml:space="preserve">Proceedings of the 1998 </w:t>
      </w:r>
      <w:proofErr w:type="gramStart"/>
      <w:r w:rsidRPr="00373324">
        <w:rPr>
          <w:i/>
          <w:sz w:val="20"/>
          <w:szCs w:val="20"/>
        </w:rPr>
        <w:t>6th</w:t>
      </w:r>
      <w:proofErr w:type="gramEnd"/>
      <w:r w:rsidRPr="00373324">
        <w:rPr>
          <w:i/>
          <w:sz w:val="20"/>
          <w:szCs w:val="20"/>
        </w:rPr>
        <w:t xml:space="preserve"> International Symposium, Oxford Centre for Staff and Learning Development</w:t>
      </w:r>
      <w:r w:rsidRPr="002B2651">
        <w:rPr>
          <w:sz w:val="20"/>
          <w:szCs w:val="20"/>
        </w:rPr>
        <w:t xml:space="preserve">, </w:t>
      </w:r>
      <w:r w:rsidR="00373324">
        <w:rPr>
          <w:sz w:val="20"/>
          <w:szCs w:val="20"/>
        </w:rPr>
        <w:t xml:space="preserve">ed. </w:t>
      </w:r>
      <w:r w:rsidR="00373324" w:rsidRPr="002B2651">
        <w:rPr>
          <w:sz w:val="20"/>
          <w:szCs w:val="20"/>
        </w:rPr>
        <w:t>C. Rust, ed.,</w:t>
      </w:r>
      <w:r w:rsidR="00373324" w:rsidRPr="00373324">
        <w:rPr>
          <w:sz w:val="20"/>
          <w:szCs w:val="20"/>
        </w:rPr>
        <w:t xml:space="preserve"> </w:t>
      </w:r>
      <w:r w:rsidR="00373324" w:rsidRPr="002B2651">
        <w:rPr>
          <w:sz w:val="20"/>
          <w:szCs w:val="20"/>
        </w:rPr>
        <w:t>326–331.</w:t>
      </w:r>
      <w:r w:rsidR="00373324">
        <w:rPr>
          <w:sz w:val="20"/>
          <w:szCs w:val="20"/>
        </w:rPr>
        <w:t xml:space="preserve"> </w:t>
      </w:r>
      <w:r w:rsidR="00373324" w:rsidRPr="002B2651">
        <w:rPr>
          <w:sz w:val="20"/>
          <w:szCs w:val="20"/>
        </w:rPr>
        <w:t>Oxford:</w:t>
      </w:r>
      <w:r w:rsidR="00373324">
        <w:rPr>
          <w:sz w:val="20"/>
          <w:szCs w:val="20"/>
        </w:rPr>
        <w:t xml:space="preserve"> Oxford Brookes University.</w:t>
      </w:r>
    </w:p>
    <w:p w14:paraId="661354BD" w14:textId="77777777" w:rsidR="003671F8" w:rsidRPr="00373324" w:rsidRDefault="003671F8" w:rsidP="003671F8">
      <w:pPr>
        <w:spacing w:after="360"/>
        <w:rPr>
          <w:i/>
          <w:sz w:val="20"/>
          <w:szCs w:val="20"/>
        </w:rPr>
      </w:pPr>
      <w:proofErr w:type="spellStart"/>
      <w:r w:rsidRPr="002B2651">
        <w:rPr>
          <w:sz w:val="20"/>
          <w:szCs w:val="20"/>
          <w:lang w:val="en-US"/>
        </w:rPr>
        <w:t>McGettigan</w:t>
      </w:r>
      <w:proofErr w:type="spellEnd"/>
      <w:r w:rsidRPr="002B2651">
        <w:rPr>
          <w:sz w:val="20"/>
          <w:szCs w:val="20"/>
          <w:lang w:val="en-US"/>
        </w:rPr>
        <w:t xml:space="preserve">, Andrew. 2015. </w:t>
      </w:r>
      <w:r w:rsidRPr="00373324">
        <w:rPr>
          <w:i/>
          <w:sz w:val="20"/>
          <w:szCs w:val="20"/>
        </w:rPr>
        <w:t xml:space="preserve">The Treasury View of HE: variable human capital investment. PERC Papers Series: Paper No. 6. </w:t>
      </w:r>
    </w:p>
    <w:p w14:paraId="0EA6C076" w14:textId="6B6F8E25" w:rsidR="003671F8" w:rsidRPr="002B2651" w:rsidRDefault="003671F8" w:rsidP="003671F8">
      <w:pPr>
        <w:spacing w:after="360"/>
        <w:rPr>
          <w:sz w:val="20"/>
          <w:szCs w:val="20"/>
        </w:rPr>
      </w:pPr>
      <w:r w:rsidRPr="002B2651">
        <w:rPr>
          <w:sz w:val="20"/>
          <w:szCs w:val="20"/>
        </w:rPr>
        <w:t xml:space="preserve">National Commission on Excellence in Education. 1983. </w:t>
      </w:r>
      <w:r w:rsidRPr="00373324">
        <w:rPr>
          <w:i/>
          <w:sz w:val="20"/>
          <w:szCs w:val="20"/>
        </w:rPr>
        <w:t>A Nation at Risk: The Imperative for Educational Reform</w:t>
      </w:r>
      <w:r w:rsidRPr="002B2651">
        <w:rPr>
          <w:sz w:val="20"/>
          <w:szCs w:val="20"/>
        </w:rPr>
        <w:t xml:space="preserve">. </w:t>
      </w:r>
      <w:r w:rsidR="00373324">
        <w:rPr>
          <w:sz w:val="20"/>
          <w:szCs w:val="20"/>
        </w:rPr>
        <w:t>(</w:t>
      </w:r>
      <w:r w:rsidRPr="002B2651">
        <w:rPr>
          <w:sz w:val="20"/>
          <w:szCs w:val="20"/>
        </w:rPr>
        <w:t>April 1983</w:t>
      </w:r>
      <w:r w:rsidR="00373324">
        <w:rPr>
          <w:sz w:val="20"/>
          <w:szCs w:val="20"/>
        </w:rPr>
        <w:t>)</w:t>
      </w:r>
      <w:r w:rsidRPr="002B2651">
        <w:rPr>
          <w:sz w:val="20"/>
          <w:szCs w:val="20"/>
        </w:rPr>
        <w:t>.</w:t>
      </w:r>
    </w:p>
    <w:p w14:paraId="2E3234A0" w14:textId="4159876F" w:rsidR="003671F8" w:rsidRPr="002B2651" w:rsidRDefault="003671F8" w:rsidP="003671F8">
      <w:pPr>
        <w:spacing w:after="360"/>
        <w:rPr>
          <w:sz w:val="20"/>
          <w:szCs w:val="20"/>
        </w:rPr>
      </w:pPr>
      <w:r w:rsidRPr="002B2651">
        <w:rPr>
          <w:sz w:val="20"/>
          <w:szCs w:val="20"/>
        </w:rPr>
        <w:lastRenderedPageBreak/>
        <w:t>Neumann, R. 1992. Perceptions of the teaching-research nexu</w:t>
      </w:r>
      <w:r w:rsidR="00373324">
        <w:rPr>
          <w:sz w:val="20"/>
          <w:szCs w:val="20"/>
        </w:rPr>
        <w:t xml:space="preserve">s: a framework for analyses. </w:t>
      </w:r>
      <w:r w:rsidRPr="00373324">
        <w:rPr>
          <w:i/>
          <w:sz w:val="20"/>
          <w:szCs w:val="20"/>
        </w:rPr>
        <w:t>Higher Education</w:t>
      </w:r>
      <w:r w:rsidR="00373324">
        <w:rPr>
          <w:sz w:val="20"/>
          <w:szCs w:val="20"/>
        </w:rPr>
        <w:t xml:space="preserve"> </w:t>
      </w:r>
      <w:r w:rsidRPr="002B2651">
        <w:rPr>
          <w:sz w:val="20"/>
          <w:szCs w:val="20"/>
        </w:rPr>
        <w:t>23: 159-171.</w:t>
      </w:r>
    </w:p>
    <w:p w14:paraId="5719BC16" w14:textId="24E71847" w:rsidR="003671F8" w:rsidRPr="002B2651" w:rsidRDefault="003671F8" w:rsidP="003671F8">
      <w:pPr>
        <w:spacing w:after="360"/>
        <w:rPr>
          <w:sz w:val="20"/>
          <w:szCs w:val="20"/>
        </w:rPr>
      </w:pPr>
      <w:r w:rsidRPr="002B2651">
        <w:rPr>
          <w:sz w:val="20"/>
          <w:szCs w:val="20"/>
        </w:rPr>
        <w:t>Osborne, Peter. 2010. Privatization as Anti-Politics</w:t>
      </w:r>
      <w:r w:rsidR="00373324">
        <w:rPr>
          <w:sz w:val="20"/>
          <w:szCs w:val="20"/>
        </w:rPr>
        <w:t xml:space="preserve">: Interview with Peter Osborne. </w:t>
      </w:r>
      <w:r w:rsidR="00373324" w:rsidRPr="00373324">
        <w:rPr>
          <w:i/>
          <w:sz w:val="20"/>
          <w:szCs w:val="20"/>
        </w:rPr>
        <w:t>Reclamations</w:t>
      </w:r>
      <w:r w:rsidR="00373324">
        <w:rPr>
          <w:sz w:val="20"/>
          <w:szCs w:val="20"/>
        </w:rPr>
        <w:t xml:space="preserve"> 3</w:t>
      </w:r>
      <w:r w:rsidRPr="002B2651">
        <w:rPr>
          <w:sz w:val="20"/>
          <w:szCs w:val="20"/>
        </w:rPr>
        <w:t>.</w:t>
      </w:r>
      <w:r w:rsidR="00373324">
        <w:rPr>
          <w:sz w:val="20"/>
          <w:szCs w:val="20"/>
        </w:rPr>
        <w:t xml:space="preserve"> </w:t>
      </w:r>
      <w:proofErr w:type="spellStart"/>
      <w:r w:rsidR="00373324">
        <w:rPr>
          <w:sz w:val="20"/>
          <w:szCs w:val="20"/>
        </w:rPr>
        <w:t>Retrived</w:t>
      </w:r>
      <w:proofErr w:type="spellEnd"/>
      <w:r w:rsidR="00373324">
        <w:rPr>
          <w:sz w:val="20"/>
          <w:szCs w:val="20"/>
        </w:rPr>
        <w:t xml:space="preserve"> from</w:t>
      </w:r>
      <w:r w:rsidRPr="002B2651">
        <w:rPr>
          <w:sz w:val="20"/>
          <w:szCs w:val="20"/>
        </w:rPr>
        <w:t xml:space="preserve"> </w:t>
      </w:r>
      <w:hyperlink r:id="rId11" w:history="1">
        <w:r w:rsidRPr="002B2651">
          <w:rPr>
            <w:rStyle w:val="Hyperlink"/>
            <w:sz w:val="20"/>
            <w:szCs w:val="20"/>
          </w:rPr>
          <w:t>http://reclamationsjournal.org/issue03_peter_osborne.htm</w:t>
        </w:r>
      </w:hyperlink>
      <w:r w:rsidR="00373324">
        <w:rPr>
          <w:sz w:val="20"/>
          <w:szCs w:val="20"/>
        </w:rPr>
        <w:t>.</w:t>
      </w:r>
    </w:p>
    <w:p w14:paraId="1151694B" w14:textId="6E627379" w:rsidR="003671F8" w:rsidRPr="002B2651" w:rsidRDefault="00DF5076" w:rsidP="003671F8">
      <w:pPr>
        <w:spacing w:after="360"/>
        <w:rPr>
          <w:sz w:val="20"/>
          <w:szCs w:val="20"/>
        </w:rPr>
      </w:pPr>
      <w:r w:rsidRPr="002B2651">
        <w:rPr>
          <w:sz w:val="20"/>
          <w:szCs w:val="20"/>
        </w:rPr>
        <w:t>Osborne, Peter. 2011</w:t>
      </w:r>
      <w:r w:rsidR="003671F8" w:rsidRPr="002B2651">
        <w:rPr>
          <w:sz w:val="20"/>
          <w:szCs w:val="20"/>
        </w:rPr>
        <w:t>.</w:t>
      </w:r>
      <w:r w:rsidRPr="002B2651">
        <w:rPr>
          <w:sz w:val="20"/>
          <w:szCs w:val="20"/>
        </w:rPr>
        <w:t xml:space="preserve"> Philosophy after </w:t>
      </w:r>
      <w:r w:rsidR="003671F8" w:rsidRPr="002B2651">
        <w:rPr>
          <w:sz w:val="20"/>
          <w:szCs w:val="20"/>
        </w:rPr>
        <w:t>Theory</w:t>
      </w:r>
      <w:r w:rsidRPr="002B2651">
        <w:rPr>
          <w:sz w:val="20"/>
          <w:szCs w:val="20"/>
        </w:rPr>
        <w:t xml:space="preserve">: </w:t>
      </w:r>
      <w:proofErr w:type="spellStart"/>
      <w:r w:rsidRPr="002B2651">
        <w:rPr>
          <w:sz w:val="20"/>
          <w:szCs w:val="20"/>
        </w:rPr>
        <w:t>Transdisciplinarity</w:t>
      </w:r>
      <w:proofErr w:type="spellEnd"/>
      <w:r w:rsidRPr="002B2651">
        <w:rPr>
          <w:sz w:val="20"/>
          <w:szCs w:val="20"/>
        </w:rPr>
        <w:t xml:space="preserve"> and the New. </w:t>
      </w:r>
      <w:r w:rsidR="00A7459A">
        <w:rPr>
          <w:sz w:val="20"/>
          <w:szCs w:val="20"/>
        </w:rPr>
        <w:t xml:space="preserve">In </w:t>
      </w:r>
      <w:r w:rsidR="00A7459A">
        <w:rPr>
          <w:i/>
          <w:sz w:val="20"/>
          <w:szCs w:val="20"/>
        </w:rPr>
        <w:t xml:space="preserve">Theory </w:t>
      </w:r>
      <w:proofErr w:type="gramStart"/>
      <w:r w:rsidR="00A7459A">
        <w:rPr>
          <w:i/>
          <w:sz w:val="20"/>
          <w:szCs w:val="20"/>
        </w:rPr>
        <w:t>After</w:t>
      </w:r>
      <w:proofErr w:type="gramEnd"/>
      <w:r w:rsidR="00A7459A">
        <w:rPr>
          <w:i/>
          <w:sz w:val="20"/>
          <w:szCs w:val="20"/>
        </w:rPr>
        <w:t xml:space="preserve"> “Theory”</w:t>
      </w:r>
      <w:r w:rsidR="00A7459A">
        <w:rPr>
          <w:sz w:val="20"/>
          <w:szCs w:val="20"/>
        </w:rPr>
        <w:t xml:space="preserve">, eds. Derek </w:t>
      </w:r>
      <w:proofErr w:type="spellStart"/>
      <w:r w:rsidR="00A7459A">
        <w:rPr>
          <w:sz w:val="20"/>
          <w:szCs w:val="20"/>
        </w:rPr>
        <w:t>Attridge</w:t>
      </w:r>
      <w:proofErr w:type="spellEnd"/>
      <w:r w:rsidR="00A7459A">
        <w:rPr>
          <w:sz w:val="20"/>
          <w:szCs w:val="20"/>
        </w:rPr>
        <w:t xml:space="preserve"> </w:t>
      </w:r>
      <w:r w:rsidR="00A7459A" w:rsidRPr="002B2651">
        <w:rPr>
          <w:sz w:val="20"/>
          <w:szCs w:val="20"/>
        </w:rPr>
        <w:t>and</w:t>
      </w:r>
      <w:r w:rsidR="00A7459A">
        <w:rPr>
          <w:sz w:val="20"/>
          <w:szCs w:val="20"/>
        </w:rPr>
        <w:t xml:space="preserve"> Jane Elliot, 19-33. London:</w:t>
      </w:r>
      <w:r w:rsidRPr="002B2651">
        <w:rPr>
          <w:sz w:val="20"/>
          <w:szCs w:val="20"/>
        </w:rPr>
        <w:t xml:space="preserve"> Routledge</w:t>
      </w:r>
      <w:r w:rsidR="00A7459A">
        <w:rPr>
          <w:sz w:val="20"/>
          <w:szCs w:val="20"/>
        </w:rPr>
        <w:t>.</w:t>
      </w:r>
    </w:p>
    <w:p w14:paraId="7B4118CA" w14:textId="6287094A" w:rsidR="003671F8" w:rsidRPr="002B2651" w:rsidRDefault="00DF5076" w:rsidP="003671F8">
      <w:pPr>
        <w:spacing w:after="360"/>
        <w:rPr>
          <w:sz w:val="20"/>
          <w:szCs w:val="20"/>
        </w:rPr>
      </w:pPr>
      <w:r w:rsidRPr="002B2651">
        <w:rPr>
          <w:sz w:val="20"/>
          <w:szCs w:val="20"/>
        </w:rPr>
        <w:t>Piaget, Jean. 1972</w:t>
      </w:r>
      <w:r w:rsidR="003671F8" w:rsidRPr="002B2651">
        <w:rPr>
          <w:sz w:val="20"/>
          <w:szCs w:val="20"/>
        </w:rPr>
        <w:t xml:space="preserve">. The Epistemology of </w:t>
      </w:r>
      <w:r w:rsidRPr="002B2651">
        <w:rPr>
          <w:sz w:val="20"/>
          <w:szCs w:val="20"/>
        </w:rPr>
        <w:t>Interdisciplinary Relationships. I</w:t>
      </w:r>
      <w:r w:rsidR="003671F8" w:rsidRPr="002B2651">
        <w:rPr>
          <w:sz w:val="20"/>
          <w:szCs w:val="20"/>
        </w:rPr>
        <w:t>n</w:t>
      </w:r>
      <w:r w:rsidR="002B2651" w:rsidRPr="002B2651">
        <w:rPr>
          <w:sz w:val="20"/>
          <w:szCs w:val="20"/>
        </w:rPr>
        <w:t xml:space="preserve"> </w:t>
      </w:r>
      <w:proofErr w:type="spellStart"/>
      <w:r w:rsidR="002B2651" w:rsidRPr="00A7459A">
        <w:rPr>
          <w:i/>
          <w:sz w:val="20"/>
          <w:szCs w:val="20"/>
        </w:rPr>
        <w:t>Interdisciplinarity</w:t>
      </w:r>
      <w:proofErr w:type="spellEnd"/>
      <w:r w:rsidR="002B2651" w:rsidRPr="00A7459A">
        <w:rPr>
          <w:i/>
          <w:sz w:val="20"/>
          <w:szCs w:val="20"/>
        </w:rPr>
        <w:t>: Problems of Teaching and Research</w:t>
      </w:r>
      <w:r w:rsidR="00A7459A">
        <w:rPr>
          <w:sz w:val="20"/>
          <w:szCs w:val="20"/>
        </w:rPr>
        <w:t xml:space="preserve">, eds. L. </w:t>
      </w:r>
      <w:proofErr w:type="spellStart"/>
      <w:r w:rsidR="00A7459A" w:rsidRPr="002B2651">
        <w:rPr>
          <w:sz w:val="20"/>
          <w:szCs w:val="20"/>
        </w:rPr>
        <w:t>Apostel</w:t>
      </w:r>
      <w:proofErr w:type="spellEnd"/>
      <w:r w:rsidR="00A7459A" w:rsidRPr="002B2651">
        <w:rPr>
          <w:sz w:val="20"/>
          <w:szCs w:val="20"/>
        </w:rPr>
        <w:t>,</w:t>
      </w:r>
      <w:r w:rsidR="00A7459A">
        <w:rPr>
          <w:sz w:val="20"/>
          <w:szCs w:val="20"/>
        </w:rPr>
        <w:t xml:space="preserve"> G. </w:t>
      </w:r>
      <w:r w:rsidR="00A7459A" w:rsidRPr="002B2651">
        <w:rPr>
          <w:sz w:val="20"/>
          <w:szCs w:val="20"/>
        </w:rPr>
        <w:t>Berger,</w:t>
      </w:r>
      <w:r w:rsidR="00A7459A">
        <w:rPr>
          <w:sz w:val="20"/>
          <w:szCs w:val="20"/>
        </w:rPr>
        <w:t xml:space="preserve"> A. Briggs </w:t>
      </w:r>
      <w:r w:rsidR="00A7459A" w:rsidRPr="002B2651">
        <w:rPr>
          <w:sz w:val="20"/>
          <w:szCs w:val="20"/>
        </w:rPr>
        <w:t>and</w:t>
      </w:r>
      <w:r w:rsidR="00A7459A">
        <w:rPr>
          <w:sz w:val="20"/>
          <w:szCs w:val="20"/>
        </w:rPr>
        <w:t xml:space="preserve"> G.</w:t>
      </w:r>
      <w:r w:rsidR="00A7459A" w:rsidRPr="002B2651">
        <w:rPr>
          <w:sz w:val="20"/>
          <w:szCs w:val="20"/>
        </w:rPr>
        <w:t xml:space="preserve"> Michaud, </w:t>
      </w:r>
      <w:r w:rsidR="00A7459A">
        <w:rPr>
          <w:sz w:val="20"/>
          <w:szCs w:val="20"/>
        </w:rPr>
        <w:t xml:space="preserve">127-139. Paris: </w:t>
      </w:r>
      <w:r w:rsidR="002B2651">
        <w:rPr>
          <w:sz w:val="20"/>
          <w:szCs w:val="20"/>
        </w:rPr>
        <w:t>OECD</w:t>
      </w:r>
      <w:r w:rsidR="00A7459A">
        <w:rPr>
          <w:sz w:val="20"/>
          <w:szCs w:val="20"/>
        </w:rPr>
        <w:t>.</w:t>
      </w:r>
      <w:r w:rsidR="003671F8" w:rsidRPr="002B2651">
        <w:rPr>
          <w:sz w:val="20"/>
          <w:szCs w:val="20"/>
        </w:rPr>
        <w:t xml:space="preserve"> </w:t>
      </w:r>
    </w:p>
    <w:p w14:paraId="0B610694" w14:textId="0E544513" w:rsidR="003671F8" w:rsidRPr="002B2651" w:rsidRDefault="003671F8" w:rsidP="003671F8">
      <w:pPr>
        <w:spacing w:after="360"/>
        <w:rPr>
          <w:sz w:val="20"/>
          <w:szCs w:val="20"/>
        </w:rPr>
      </w:pPr>
      <w:r w:rsidRPr="002B2651">
        <w:rPr>
          <w:sz w:val="20"/>
          <w:szCs w:val="20"/>
        </w:rPr>
        <w:t xml:space="preserve">Readings, Bill. 1996. </w:t>
      </w:r>
      <w:r w:rsidRPr="00A7459A">
        <w:rPr>
          <w:i/>
          <w:sz w:val="20"/>
          <w:szCs w:val="20"/>
        </w:rPr>
        <w:t>The University in Ruins</w:t>
      </w:r>
      <w:r w:rsidRPr="002B2651">
        <w:rPr>
          <w:sz w:val="20"/>
          <w:szCs w:val="20"/>
        </w:rPr>
        <w:t xml:space="preserve">. </w:t>
      </w:r>
      <w:r w:rsidR="00A7459A">
        <w:rPr>
          <w:sz w:val="20"/>
          <w:szCs w:val="20"/>
        </w:rPr>
        <w:t>Cambridge MA. &amp; London: Harvard University Press.</w:t>
      </w:r>
    </w:p>
    <w:p w14:paraId="244625B9" w14:textId="184889E1" w:rsidR="003671F8" w:rsidRPr="002B2651" w:rsidRDefault="003671F8" w:rsidP="003671F8">
      <w:pPr>
        <w:autoSpaceDE w:val="0"/>
        <w:autoSpaceDN w:val="0"/>
        <w:adjustRightInd w:val="0"/>
        <w:rPr>
          <w:color w:val="050505"/>
          <w:sz w:val="20"/>
          <w:szCs w:val="20"/>
        </w:rPr>
      </w:pPr>
      <w:r w:rsidRPr="002B2651">
        <w:rPr>
          <w:sz w:val="20"/>
          <w:szCs w:val="20"/>
        </w:rPr>
        <w:t xml:space="preserve">Rice, R. Eugene. 1991. </w:t>
      </w:r>
      <w:r w:rsidRPr="00A7459A">
        <w:rPr>
          <w:sz w:val="20"/>
          <w:szCs w:val="20"/>
        </w:rPr>
        <w:t>The New American Scholar: Scholarship and the Purposes of the University.</w:t>
      </w:r>
      <w:r w:rsidR="00A7459A">
        <w:rPr>
          <w:sz w:val="20"/>
          <w:szCs w:val="20"/>
        </w:rPr>
        <w:t xml:space="preserve"> </w:t>
      </w:r>
      <w:r w:rsidRPr="00A7459A">
        <w:rPr>
          <w:i/>
          <w:color w:val="050505"/>
          <w:sz w:val="20"/>
          <w:szCs w:val="20"/>
        </w:rPr>
        <w:t>Metropolitan Universities</w:t>
      </w:r>
      <w:r w:rsidR="00A7459A">
        <w:rPr>
          <w:color w:val="050505"/>
          <w:sz w:val="20"/>
          <w:szCs w:val="20"/>
        </w:rPr>
        <w:t xml:space="preserve"> 1: 7-18</w:t>
      </w:r>
      <w:r w:rsidRPr="002B2651">
        <w:rPr>
          <w:color w:val="050505"/>
          <w:sz w:val="20"/>
          <w:szCs w:val="20"/>
        </w:rPr>
        <w:t>.</w:t>
      </w:r>
    </w:p>
    <w:p w14:paraId="3221E866" w14:textId="77777777" w:rsidR="003671F8" w:rsidRPr="002B2651" w:rsidRDefault="003671F8" w:rsidP="003671F8">
      <w:pPr>
        <w:autoSpaceDE w:val="0"/>
        <w:autoSpaceDN w:val="0"/>
        <w:adjustRightInd w:val="0"/>
        <w:rPr>
          <w:color w:val="050505"/>
          <w:sz w:val="20"/>
          <w:szCs w:val="20"/>
        </w:rPr>
      </w:pPr>
    </w:p>
    <w:p w14:paraId="59DD61C0" w14:textId="16B4A927" w:rsidR="003671F8" w:rsidRPr="002B2651" w:rsidRDefault="003671F8" w:rsidP="003671F8">
      <w:pPr>
        <w:autoSpaceDE w:val="0"/>
        <w:autoSpaceDN w:val="0"/>
        <w:adjustRightInd w:val="0"/>
        <w:rPr>
          <w:color w:val="050505"/>
          <w:sz w:val="20"/>
          <w:szCs w:val="20"/>
        </w:rPr>
      </w:pPr>
      <w:r w:rsidRPr="002B2651">
        <w:rPr>
          <w:sz w:val="20"/>
          <w:szCs w:val="20"/>
        </w:rPr>
        <w:t>Robertson, J. 2007. Beyond the “research/teaching nexus”: Exploring the compl</w:t>
      </w:r>
      <w:r w:rsidR="00A7459A">
        <w:rPr>
          <w:sz w:val="20"/>
          <w:szCs w:val="20"/>
        </w:rPr>
        <w:t>exity of academic experience.</w:t>
      </w:r>
      <w:r w:rsidRPr="002B2651">
        <w:rPr>
          <w:sz w:val="20"/>
          <w:szCs w:val="20"/>
        </w:rPr>
        <w:t xml:space="preserve"> </w:t>
      </w:r>
      <w:r w:rsidRPr="00A7459A">
        <w:rPr>
          <w:i/>
          <w:sz w:val="20"/>
          <w:szCs w:val="20"/>
        </w:rPr>
        <w:t>Studies in Higher Education</w:t>
      </w:r>
      <w:r w:rsidR="00A7459A">
        <w:rPr>
          <w:sz w:val="20"/>
          <w:szCs w:val="20"/>
        </w:rPr>
        <w:t xml:space="preserve"> </w:t>
      </w:r>
      <w:r w:rsidRPr="002B2651">
        <w:rPr>
          <w:sz w:val="20"/>
          <w:szCs w:val="20"/>
        </w:rPr>
        <w:t>32</w:t>
      </w:r>
      <w:r w:rsidR="00A7459A">
        <w:rPr>
          <w:sz w:val="20"/>
          <w:szCs w:val="20"/>
        </w:rPr>
        <w:t>(5): 5</w:t>
      </w:r>
      <w:r w:rsidRPr="002B2651">
        <w:rPr>
          <w:sz w:val="20"/>
          <w:szCs w:val="20"/>
        </w:rPr>
        <w:t>41-556.</w:t>
      </w:r>
    </w:p>
    <w:p w14:paraId="1CFBF4A5" w14:textId="77777777" w:rsidR="003671F8" w:rsidRPr="002B2651" w:rsidRDefault="003671F8" w:rsidP="003671F8">
      <w:pPr>
        <w:autoSpaceDE w:val="0"/>
        <w:autoSpaceDN w:val="0"/>
        <w:adjustRightInd w:val="0"/>
        <w:rPr>
          <w:color w:val="050505"/>
          <w:sz w:val="20"/>
          <w:szCs w:val="20"/>
        </w:rPr>
      </w:pPr>
    </w:p>
    <w:p w14:paraId="329413A3" w14:textId="54E6815C" w:rsidR="003671F8" w:rsidRPr="002B2651" w:rsidRDefault="003671F8" w:rsidP="003671F8">
      <w:pPr>
        <w:autoSpaceDE w:val="0"/>
        <w:autoSpaceDN w:val="0"/>
        <w:adjustRightInd w:val="0"/>
        <w:rPr>
          <w:sz w:val="20"/>
          <w:szCs w:val="20"/>
        </w:rPr>
      </w:pPr>
      <w:r w:rsidRPr="002B2651">
        <w:rPr>
          <w:sz w:val="20"/>
          <w:szCs w:val="20"/>
        </w:rPr>
        <w:t xml:space="preserve">Russell Group. </w:t>
      </w:r>
      <w:proofErr w:type="spellStart"/>
      <w:proofErr w:type="gramStart"/>
      <w:r w:rsidRPr="002B2651">
        <w:rPr>
          <w:sz w:val="20"/>
          <w:szCs w:val="20"/>
        </w:rPr>
        <w:t>n.d</w:t>
      </w:r>
      <w:proofErr w:type="gramEnd"/>
      <w:r w:rsidRPr="002B2651">
        <w:rPr>
          <w:sz w:val="20"/>
          <w:szCs w:val="20"/>
        </w:rPr>
        <w:t>.</w:t>
      </w:r>
      <w:proofErr w:type="spellEnd"/>
      <w:r w:rsidRPr="002B2651">
        <w:rPr>
          <w:sz w:val="20"/>
          <w:szCs w:val="20"/>
        </w:rPr>
        <w:t xml:space="preserve"> </w:t>
      </w:r>
      <w:r w:rsidRPr="00A7459A">
        <w:rPr>
          <w:i/>
          <w:sz w:val="20"/>
          <w:szCs w:val="20"/>
        </w:rPr>
        <w:t>Research-led learning: the heart of a Russell Group university experience.</w:t>
      </w:r>
      <w:r w:rsidR="00A7459A">
        <w:rPr>
          <w:i/>
          <w:sz w:val="20"/>
          <w:szCs w:val="20"/>
        </w:rPr>
        <w:t xml:space="preserve"> </w:t>
      </w:r>
      <w:r w:rsidR="00A7459A">
        <w:rPr>
          <w:sz w:val="20"/>
          <w:szCs w:val="20"/>
        </w:rPr>
        <w:t>Retrieved from</w:t>
      </w:r>
      <w:r w:rsidRPr="002B2651">
        <w:rPr>
          <w:sz w:val="20"/>
          <w:szCs w:val="20"/>
        </w:rPr>
        <w:t xml:space="preserve"> </w:t>
      </w:r>
      <w:hyperlink r:id="rId12" w:history="1">
        <w:r w:rsidRPr="002B2651">
          <w:rPr>
            <w:rStyle w:val="Hyperlink"/>
            <w:sz w:val="20"/>
            <w:szCs w:val="20"/>
          </w:rPr>
          <w:t>http://russellgroup.ac.uk/media/5048/4learning-in-a-research-intensive-environment.pdf</w:t>
        </w:r>
      </w:hyperlink>
      <w:r w:rsidR="00A7459A">
        <w:rPr>
          <w:sz w:val="20"/>
          <w:szCs w:val="20"/>
        </w:rPr>
        <w:t>.</w:t>
      </w:r>
    </w:p>
    <w:p w14:paraId="7C410D6A" w14:textId="77777777" w:rsidR="00EF2E1B" w:rsidRPr="002B2651" w:rsidRDefault="00EF2E1B" w:rsidP="003671F8">
      <w:pPr>
        <w:autoSpaceDE w:val="0"/>
        <w:autoSpaceDN w:val="0"/>
        <w:adjustRightInd w:val="0"/>
        <w:rPr>
          <w:sz w:val="20"/>
          <w:szCs w:val="20"/>
        </w:rPr>
      </w:pPr>
    </w:p>
    <w:p w14:paraId="64B76737" w14:textId="592702D3" w:rsidR="003671F8" w:rsidRPr="002B2651" w:rsidRDefault="003671F8" w:rsidP="003671F8">
      <w:pPr>
        <w:autoSpaceDE w:val="0"/>
        <w:autoSpaceDN w:val="0"/>
        <w:adjustRightInd w:val="0"/>
        <w:rPr>
          <w:sz w:val="20"/>
          <w:szCs w:val="20"/>
        </w:rPr>
      </w:pPr>
      <w:r w:rsidRPr="002B2651">
        <w:rPr>
          <w:sz w:val="20"/>
          <w:szCs w:val="20"/>
        </w:rPr>
        <w:t xml:space="preserve">Scott, Peter. 2005. Divergence or Convergence? The Links between Teaching and Research in Mass Higher Education. In </w:t>
      </w:r>
      <w:proofErr w:type="gramStart"/>
      <w:r w:rsidRPr="00A7459A">
        <w:rPr>
          <w:i/>
          <w:sz w:val="20"/>
          <w:szCs w:val="20"/>
        </w:rPr>
        <w:t>Reshaping</w:t>
      </w:r>
      <w:proofErr w:type="gramEnd"/>
      <w:r w:rsidRPr="00A7459A">
        <w:rPr>
          <w:i/>
          <w:sz w:val="20"/>
          <w:szCs w:val="20"/>
        </w:rPr>
        <w:t xml:space="preserve"> the university: new relationships between research, scholarship and teaching</w:t>
      </w:r>
      <w:r w:rsidR="00A7459A">
        <w:rPr>
          <w:sz w:val="20"/>
          <w:szCs w:val="20"/>
        </w:rPr>
        <w:t xml:space="preserve">, ed. Ronald </w:t>
      </w:r>
      <w:r w:rsidR="00A7459A" w:rsidRPr="002B2651">
        <w:rPr>
          <w:sz w:val="20"/>
          <w:szCs w:val="20"/>
        </w:rPr>
        <w:t xml:space="preserve">Barnett, </w:t>
      </w:r>
      <w:r w:rsidR="00A7459A">
        <w:rPr>
          <w:sz w:val="20"/>
          <w:szCs w:val="20"/>
        </w:rPr>
        <w:t xml:space="preserve">53-66. </w:t>
      </w:r>
      <w:r w:rsidR="00A7459A" w:rsidRPr="002B2651">
        <w:rPr>
          <w:sz w:val="20"/>
          <w:szCs w:val="20"/>
        </w:rPr>
        <w:t>Maidenhead</w:t>
      </w:r>
      <w:r w:rsidR="00A7459A">
        <w:rPr>
          <w:sz w:val="20"/>
          <w:szCs w:val="20"/>
        </w:rPr>
        <w:t xml:space="preserve">: </w:t>
      </w:r>
      <w:r w:rsidRPr="002B2651">
        <w:rPr>
          <w:sz w:val="20"/>
          <w:szCs w:val="20"/>
        </w:rPr>
        <w:t>Mc</w:t>
      </w:r>
      <w:r w:rsidR="00A7459A">
        <w:rPr>
          <w:sz w:val="20"/>
          <w:szCs w:val="20"/>
        </w:rPr>
        <w:t>Graw-Hill/Open University Press</w:t>
      </w:r>
      <w:r w:rsidRPr="002B2651">
        <w:rPr>
          <w:sz w:val="20"/>
          <w:szCs w:val="20"/>
        </w:rPr>
        <w:t>.</w:t>
      </w:r>
    </w:p>
    <w:p w14:paraId="6AFF8C1C" w14:textId="77777777" w:rsidR="003671F8" w:rsidRPr="002B2651" w:rsidRDefault="003671F8" w:rsidP="003671F8">
      <w:pPr>
        <w:autoSpaceDE w:val="0"/>
        <w:autoSpaceDN w:val="0"/>
        <w:adjustRightInd w:val="0"/>
        <w:rPr>
          <w:color w:val="050505"/>
          <w:sz w:val="20"/>
          <w:szCs w:val="20"/>
        </w:rPr>
      </w:pPr>
    </w:p>
    <w:p w14:paraId="68AEF3EC" w14:textId="5FDA590B" w:rsidR="003671F8" w:rsidRPr="002B2651" w:rsidRDefault="003671F8" w:rsidP="003671F8">
      <w:pPr>
        <w:autoSpaceDE w:val="0"/>
        <w:autoSpaceDN w:val="0"/>
        <w:adjustRightInd w:val="0"/>
        <w:rPr>
          <w:color w:val="050505"/>
          <w:sz w:val="20"/>
          <w:szCs w:val="20"/>
        </w:rPr>
      </w:pPr>
      <w:r w:rsidRPr="002B2651">
        <w:rPr>
          <w:sz w:val="20"/>
          <w:szCs w:val="20"/>
        </w:rPr>
        <w:t xml:space="preserve">Schultz, Theodore W. 1961. Investment in Human Capital. </w:t>
      </w:r>
      <w:r w:rsidRPr="00A7459A">
        <w:rPr>
          <w:i/>
          <w:sz w:val="20"/>
          <w:szCs w:val="20"/>
        </w:rPr>
        <w:t>The American Economic Review</w:t>
      </w:r>
      <w:r w:rsidR="00A7459A">
        <w:rPr>
          <w:i/>
          <w:sz w:val="20"/>
          <w:szCs w:val="20"/>
        </w:rPr>
        <w:t xml:space="preserve"> </w:t>
      </w:r>
      <w:r w:rsidRPr="002B2651">
        <w:rPr>
          <w:sz w:val="20"/>
          <w:szCs w:val="20"/>
        </w:rPr>
        <w:t>51</w:t>
      </w:r>
      <w:r w:rsidR="00A7459A">
        <w:rPr>
          <w:sz w:val="20"/>
          <w:szCs w:val="20"/>
        </w:rPr>
        <w:t>(1)</w:t>
      </w:r>
      <w:r w:rsidRPr="002B2651">
        <w:rPr>
          <w:sz w:val="20"/>
          <w:szCs w:val="20"/>
        </w:rPr>
        <w:t>: 1-17.</w:t>
      </w:r>
    </w:p>
    <w:p w14:paraId="1AD0985A" w14:textId="77777777" w:rsidR="003671F8" w:rsidRPr="002B2651" w:rsidRDefault="003671F8" w:rsidP="003671F8">
      <w:pPr>
        <w:autoSpaceDE w:val="0"/>
        <w:autoSpaceDN w:val="0"/>
        <w:adjustRightInd w:val="0"/>
        <w:rPr>
          <w:color w:val="050505"/>
          <w:sz w:val="20"/>
          <w:szCs w:val="20"/>
        </w:rPr>
      </w:pPr>
    </w:p>
    <w:p w14:paraId="4F717296" w14:textId="120C72FC" w:rsidR="003671F8" w:rsidRPr="00A7459A" w:rsidRDefault="003671F8" w:rsidP="003671F8">
      <w:pPr>
        <w:autoSpaceDE w:val="0"/>
        <w:autoSpaceDN w:val="0"/>
        <w:adjustRightInd w:val="0"/>
        <w:rPr>
          <w:color w:val="050505"/>
          <w:sz w:val="20"/>
          <w:szCs w:val="20"/>
        </w:rPr>
      </w:pPr>
      <w:r w:rsidRPr="002B2651">
        <w:rPr>
          <w:sz w:val="20"/>
          <w:szCs w:val="20"/>
        </w:rPr>
        <w:t xml:space="preserve">Schultz, Theodore W. 1972. Human Capital: Policy Issues and Research Opportunities. In </w:t>
      </w:r>
      <w:r w:rsidRPr="00A7459A">
        <w:rPr>
          <w:i/>
          <w:sz w:val="20"/>
          <w:szCs w:val="20"/>
        </w:rPr>
        <w:t xml:space="preserve">Economic Research: Retrospect and Prospect. Volume 6: Human </w:t>
      </w:r>
      <w:r w:rsidR="00A7459A" w:rsidRPr="00A7459A">
        <w:rPr>
          <w:i/>
          <w:sz w:val="20"/>
          <w:szCs w:val="20"/>
        </w:rPr>
        <w:t>Resources</w:t>
      </w:r>
      <w:r w:rsidR="00A7459A">
        <w:rPr>
          <w:sz w:val="20"/>
          <w:szCs w:val="20"/>
        </w:rPr>
        <w:t xml:space="preserve">, </w:t>
      </w:r>
      <w:r w:rsidR="00A7459A" w:rsidRPr="00A7459A">
        <w:rPr>
          <w:sz w:val="20"/>
          <w:szCs w:val="20"/>
        </w:rPr>
        <w:t>ed</w:t>
      </w:r>
      <w:r w:rsidR="00A7459A">
        <w:rPr>
          <w:sz w:val="20"/>
          <w:szCs w:val="20"/>
        </w:rPr>
        <w:t xml:space="preserve">. Theodore W. Schultz. </w:t>
      </w:r>
      <w:r w:rsidR="00A7459A" w:rsidRPr="00A7459A">
        <w:rPr>
          <w:sz w:val="20"/>
          <w:szCs w:val="20"/>
        </w:rPr>
        <w:t>National Bureau of Economic Research</w:t>
      </w:r>
      <w:r w:rsidR="00A7459A">
        <w:rPr>
          <w:sz w:val="20"/>
          <w:szCs w:val="20"/>
        </w:rPr>
        <w:t>.</w:t>
      </w:r>
    </w:p>
    <w:p w14:paraId="4E45BFAE" w14:textId="77777777" w:rsidR="003671F8" w:rsidRPr="002B2651" w:rsidRDefault="003671F8" w:rsidP="003671F8">
      <w:pPr>
        <w:autoSpaceDE w:val="0"/>
        <w:autoSpaceDN w:val="0"/>
        <w:adjustRightInd w:val="0"/>
        <w:rPr>
          <w:color w:val="050505"/>
          <w:sz w:val="20"/>
          <w:szCs w:val="20"/>
        </w:rPr>
      </w:pPr>
    </w:p>
    <w:p w14:paraId="64D75239" w14:textId="7ABD5701" w:rsidR="003671F8" w:rsidRPr="002B2651" w:rsidRDefault="003671F8" w:rsidP="003671F8">
      <w:pPr>
        <w:autoSpaceDE w:val="0"/>
        <w:autoSpaceDN w:val="0"/>
        <w:adjustRightInd w:val="0"/>
        <w:rPr>
          <w:color w:val="050505"/>
          <w:sz w:val="20"/>
          <w:szCs w:val="20"/>
        </w:rPr>
      </w:pPr>
      <w:r w:rsidRPr="002B2651">
        <w:rPr>
          <w:sz w:val="20"/>
          <w:szCs w:val="20"/>
        </w:rPr>
        <w:t xml:space="preserve">Skelton, Alan, 2005. </w:t>
      </w:r>
      <w:r w:rsidRPr="00A7459A">
        <w:rPr>
          <w:i/>
          <w:sz w:val="20"/>
          <w:szCs w:val="20"/>
        </w:rPr>
        <w:t>Understanding Teaching Excellence in Higher Education: Towards a Critical Approach</w:t>
      </w:r>
      <w:r w:rsidRPr="002B2651">
        <w:rPr>
          <w:sz w:val="20"/>
          <w:szCs w:val="20"/>
        </w:rPr>
        <w:t xml:space="preserve">. </w:t>
      </w:r>
      <w:r w:rsidR="00E04B7C">
        <w:rPr>
          <w:sz w:val="20"/>
          <w:szCs w:val="20"/>
        </w:rPr>
        <w:t xml:space="preserve">London: </w:t>
      </w:r>
      <w:r w:rsidRPr="002B2651">
        <w:rPr>
          <w:sz w:val="20"/>
          <w:szCs w:val="20"/>
        </w:rPr>
        <w:t>Routledge.</w:t>
      </w:r>
    </w:p>
    <w:p w14:paraId="337A30A5" w14:textId="14058432" w:rsidR="003671F8" w:rsidRPr="002B2651" w:rsidRDefault="003671F8" w:rsidP="003671F8">
      <w:pPr>
        <w:pStyle w:val="NormalWeb"/>
        <w:rPr>
          <w:sz w:val="20"/>
          <w:szCs w:val="20"/>
        </w:rPr>
      </w:pPr>
      <w:r w:rsidRPr="002B2651">
        <w:rPr>
          <w:sz w:val="20"/>
          <w:szCs w:val="20"/>
        </w:rPr>
        <w:t xml:space="preserve">Skelton, Alan, ed. 2007. </w:t>
      </w:r>
      <w:r w:rsidRPr="00E04B7C">
        <w:rPr>
          <w:i/>
          <w:sz w:val="20"/>
          <w:szCs w:val="20"/>
        </w:rPr>
        <w:t>International perspectives on teaching excellence in higher education</w:t>
      </w:r>
      <w:r w:rsidRPr="002B2651">
        <w:rPr>
          <w:sz w:val="20"/>
          <w:szCs w:val="20"/>
        </w:rPr>
        <w:t xml:space="preserve">. </w:t>
      </w:r>
      <w:r w:rsidR="00E04B7C">
        <w:rPr>
          <w:sz w:val="20"/>
          <w:szCs w:val="20"/>
        </w:rPr>
        <w:t>London: Routledge.</w:t>
      </w:r>
    </w:p>
    <w:p w14:paraId="71A8FEE8" w14:textId="29091A79" w:rsidR="003671F8" w:rsidRPr="002B2651" w:rsidRDefault="003671F8" w:rsidP="003671F8">
      <w:pPr>
        <w:pStyle w:val="NormalWeb"/>
        <w:rPr>
          <w:sz w:val="20"/>
          <w:szCs w:val="20"/>
        </w:rPr>
      </w:pPr>
      <w:proofErr w:type="spellStart"/>
      <w:r w:rsidRPr="002B2651">
        <w:rPr>
          <w:sz w:val="20"/>
          <w:szCs w:val="20"/>
        </w:rPr>
        <w:t>Smeby</w:t>
      </w:r>
      <w:proofErr w:type="spellEnd"/>
      <w:r w:rsidRPr="002B2651">
        <w:rPr>
          <w:sz w:val="20"/>
          <w:szCs w:val="20"/>
        </w:rPr>
        <w:t xml:space="preserve">, Jens-Christian. 1998. Knowledge production and knowledge transmission: the interaction between research and teaching at universities. </w:t>
      </w:r>
      <w:r w:rsidRPr="00E04B7C">
        <w:rPr>
          <w:i/>
          <w:sz w:val="20"/>
          <w:szCs w:val="20"/>
        </w:rPr>
        <w:t>Teaching in Higher Education</w:t>
      </w:r>
      <w:r w:rsidR="00E04B7C">
        <w:rPr>
          <w:sz w:val="20"/>
          <w:szCs w:val="20"/>
        </w:rPr>
        <w:t xml:space="preserve"> 3(1): </w:t>
      </w:r>
      <w:r w:rsidRPr="002B2651">
        <w:rPr>
          <w:sz w:val="20"/>
          <w:szCs w:val="20"/>
        </w:rPr>
        <w:t>5-20.</w:t>
      </w:r>
    </w:p>
    <w:p w14:paraId="7B4809BB" w14:textId="433CF064" w:rsidR="003671F8" w:rsidRPr="002B2651" w:rsidRDefault="003671F8" w:rsidP="003671F8">
      <w:pPr>
        <w:pStyle w:val="NormalWeb"/>
        <w:rPr>
          <w:sz w:val="20"/>
          <w:szCs w:val="20"/>
        </w:rPr>
      </w:pPr>
      <w:r w:rsidRPr="002B2651">
        <w:rPr>
          <w:sz w:val="20"/>
          <w:szCs w:val="20"/>
        </w:rPr>
        <w:t xml:space="preserve">Thompson, Ann. </w:t>
      </w:r>
      <w:r w:rsidRPr="002B2651">
        <w:rPr>
          <w:rStyle w:val="Header1"/>
          <w:rFonts w:eastAsiaTheme="majorEastAsia"/>
          <w:bCs/>
          <w:sz w:val="20"/>
          <w:szCs w:val="20"/>
        </w:rPr>
        <w:t xml:space="preserve">2001. </w:t>
      </w:r>
      <w:r w:rsidRPr="002B2651">
        <w:rPr>
          <w:sz w:val="20"/>
          <w:szCs w:val="20"/>
        </w:rPr>
        <w:t xml:space="preserve">Research-led Teaching or Teaching-led Research? </w:t>
      </w:r>
      <w:r w:rsidRPr="00E04B7C">
        <w:rPr>
          <w:i/>
          <w:sz w:val="20"/>
          <w:szCs w:val="20"/>
        </w:rPr>
        <w:t>The Higher Education Academy English Subject Centre</w:t>
      </w:r>
      <w:r w:rsidRPr="002B2651">
        <w:rPr>
          <w:sz w:val="20"/>
          <w:szCs w:val="20"/>
        </w:rPr>
        <w:t xml:space="preserve"> </w:t>
      </w:r>
      <w:r w:rsidRPr="00E04B7C">
        <w:rPr>
          <w:i/>
          <w:sz w:val="20"/>
          <w:szCs w:val="20"/>
        </w:rPr>
        <w:t>Newsletter</w:t>
      </w:r>
      <w:r w:rsidR="00E04B7C">
        <w:rPr>
          <w:i/>
          <w:sz w:val="20"/>
          <w:szCs w:val="20"/>
        </w:rPr>
        <w:t xml:space="preserve"> </w:t>
      </w:r>
      <w:r w:rsidR="00E04B7C">
        <w:rPr>
          <w:sz w:val="20"/>
          <w:szCs w:val="20"/>
        </w:rPr>
        <w:t>1.</w:t>
      </w:r>
      <w:r w:rsidRPr="002B2651">
        <w:rPr>
          <w:sz w:val="20"/>
          <w:szCs w:val="20"/>
        </w:rPr>
        <w:t xml:space="preserve"> (May 2001).</w:t>
      </w:r>
    </w:p>
    <w:p w14:paraId="2E02EFFE" w14:textId="0CCF4B66" w:rsidR="00E04B7C" w:rsidRPr="002B2651" w:rsidRDefault="003671F8" w:rsidP="003671F8">
      <w:pPr>
        <w:pStyle w:val="NormalWeb"/>
        <w:rPr>
          <w:sz w:val="20"/>
          <w:szCs w:val="20"/>
        </w:rPr>
      </w:pPr>
      <w:r w:rsidRPr="002B2651">
        <w:rPr>
          <w:sz w:val="20"/>
          <w:szCs w:val="20"/>
        </w:rPr>
        <w:t xml:space="preserve">University of Bedfordshire. 2010. </w:t>
      </w:r>
      <w:r w:rsidRPr="00E04B7C">
        <w:rPr>
          <w:i/>
          <w:sz w:val="20"/>
          <w:szCs w:val="20"/>
        </w:rPr>
        <w:t>A Guide to Research Informed Teaching (</w:t>
      </w:r>
      <w:proofErr w:type="spellStart"/>
      <w:r w:rsidRPr="00E04B7C">
        <w:rPr>
          <w:i/>
          <w:sz w:val="20"/>
          <w:szCs w:val="20"/>
        </w:rPr>
        <w:t>RiT</w:t>
      </w:r>
      <w:proofErr w:type="spellEnd"/>
      <w:r w:rsidRPr="00E04B7C">
        <w:rPr>
          <w:i/>
          <w:sz w:val="20"/>
          <w:szCs w:val="20"/>
        </w:rPr>
        <w:t>) and Research Informed Learning (</w:t>
      </w:r>
      <w:proofErr w:type="spellStart"/>
      <w:r w:rsidRPr="00E04B7C">
        <w:rPr>
          <w:i/>
          <w:sz w:val="20"/>
          <w:szCs w:val="20"/>
        </w:rPr>
        <w:t>RiL</w:t>
      </w:r>
      <w:proofErr w:type="spellEnd"/>
      <w:r w:rsidRPr="00E04B7C">
        <w:rPr>
          <w:i/>
          <w:sz w:val="20"/>
          <w:szCs w:val="20"/>
        </w:rPr>
        <w:t>)</w:t>
      </w:r>
      <w:r w:rsidRPr="002B2651">
        <w:rPr>
          <w:sz w:val="20"/>
          <w:szCs w:val="20"/>
        </w:rPr>
        <w:t xml:space="preserve">. </w:t>
      </w:r>
      <w:r w:rsidR="00E04B7C">
        <w:rPr>
          <w:sz w:val="20"/>
          <w:szCs w:val="20"/>
        </w:rPr>
        <w:t>(</w:t>
      </w:r>
      <w:r w:rsidRPr="002B2651">
        <w:rPr>
          <w:sz w:val="20"/>
          <w:szCs w:val="20"/>
        </w:rPr>
        <w:t>April 2010</w:t>
      </w:r>
      <w:r w:rsidR="00E04B7C">
        <w:rPr>
          <w:sz w:val="20"/>
          <w:szCs w:val="20"/>
        </w:rPr>
        <w:t>)</w:t>
      </w:r>
      <w:r w:rsidRPr="002B2651">
        <w:rPr>
          <w:sz w:val="20"/>
          <w:szCs w:val="20"/>
        </w:rPr>
        <w:t>.</w:t>
      </w:r>
      <w:r w:rsidR="00E04B7C">
        <w:rPr>
          <w:sz w:val="20"/>
          <w:szCs w:val="20"/>
        </w:rPr>
        <w:t xml:space="preserve"> Retrieved from </w:t>
      </w:r>
      <w:hyperlink r:id="rId13" w:history="1">
        <w:r w:rsidR="00E04B7C" w:rsidRPr="00BD24A2">
          <w:rPr>
            <w:rStyle w:val="Hyperlink"/>
            <w:sz w:val="20"/>
            <w:szCs w:val="20"/>
          </w:rPr>
          <w:t>https://www.beds.ac.uk/__data/assets/pdf_file/0010/273772/Guide-9-A-Guide-to-Research-Informed-Teaching-and-Research-Informed-Learning.pdf</w:t>
        </w:r>
      </w:hyperlink>
      <w:r w:rsidR="00E04B7C">
        <w:rPr>
          <w:sz w:val="20"/>
          <w:szCs w:val="20"/>
        </w:rPr>
        <w:t>.</w:t>
      </w:r>
    </w:p>
    <w:p w14:paraId="7FCCB945" w14:textId="7CD46F41" w:rsidR="003671F8" w:rsidRPr="0046778D" w:rsidRDefault="003671F8" w:rsidP="003671F8">
      <w:pPr>
        <w:pStyle w:val="NormalWeb"/>
      </w:pPr>
      <w:proofErr w:type="spellStart"/>
      <w:r w:rsidRPr="002B2651">
        <w:rPr>
          <w:sz w:val="20"/>
          <w:szCs w:val="20"/>
        </w:rPr>
        <w:t>Zamorski</w:t>
      </w:r>
      <w:proofErr w:type="spellEnd"/>
      <w:r w:rsidRPr="002B2651">
        <w:rPr>
          <w:sz w:val="20"/>
          <w:szCs w:val="20"/>
        </w:rPr>
        <w:t xml:space="preserve">, Barbara. 2002. Research-led Teaching and Learning in Higher Education: A case. </w:t>
      </w:r>
      <w:r w:rsidRPr="00E04B7C">
        <w:rPr>
          <w:i/>
          <w:sz w:val="20"/>
          <w:szCs w:val="20"/>
        </w:rPr>
        <w:t>Tea</w:t>
      </w:r>
      <w:r w:rsidR="00E04B7C">
        <w:rPr>
          <w:i/>
          <w:sz w:val="20"/>
          <w:szCs w:val="20"/>
        </w:rPr>
        <w:t xml:space="preserve">ching in Higher Education </w:t>
      </w:r>
      <w:r w:rsidR="00E04B7C">
        <w:rPr>
          <w:sz w:val="20"/>
          <w:szCs w:val="20"/>
        </w:rPr>
        <w:t>7(4)</w:t>
      </w:r>
      <w:r w:rsidRPr="002B2651">
        <w:rPr>
          <w:sz w:val="20"/>
          <w:szCs w:val="20"/>
        </w:rPr>
        <w:t>: 411-427</w:t>
      </w:r>
      <w:r>
        <w:t>.</w:t>
      </w:r>
    </w:p>
    <w:sectPr w:rsidR="003671F8" w:rsidRPr="0046778D" w:rsidSect="002B2651">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84414" w14:textId="77777777" w:rsidR="00125F4C" w:rsidRDefault="00125F4C" w:rsidP="00C22D4C">
      <w:r>
        <w:separator/>
      </w:r>
    </w:p>
  </w:endnote>
  <w:endnote w:type="continuationSeparator" w:id="0">
    <w:p w14:paraId="35C94D7C" w14:textId="77777777" w:rsidR="00125F4C" w:rsidRDefault="00125F4C" w:rsidP="00C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E92C" w14:textId="77777777" w:rsidR="00125F4C" w:rsidRDefault="00125F4C" w:rsidP="00C22D4C">
      <w:r>
        <w:separator/>
      </w:r>
    </w:p>
  </w:footnote>
  <w:footnote w:type="continuationSeparator" w:id="0">
    <w:p w14:paraId="51AA5993" w14:textId="77777777" w:rsidR="00125F4C" w:rsidRDefault="00125F4C" w:rsidP="00C22D4C">
      <w:r>
        <w:continuationSeparator/>
      </w:r>
    </w:p>
  </w:footnote>
  <w:footnote w:id="1">
    <w:p w14:paraId="08B96BAF" w14:textId="30EB7AC7" w:rsidR="00DB6AE9" w:rsidRDefault="00DB6AE9" w:rsidP="002708F2">
      <w:pPr>
        <w:pStyle w:val="FootnoteText"/>
      </w:pPr>
      <w:r>
        <w:rPr>
          <w:rStyle w:val="FootnoteReference"/>
        </w:rPr>
        <w:footnoteRef/>
      </w:r>
      <w:r>
        <w:t xml:space="preserve"> </w:t>
      </w:r>
      <w:proofErr w:type="gramStart"/>
      <w:r>
        <w:t xml:space="preserve">From 2017, teaching excellence will be evaluated against teaching quality (TQ) measured according to student satisfaction with teaching and assessment and feedback </w:t>
      </w:r>
      <w:r w:rsidRPr="002708F2">
        <w:t>f</w:t>
      </w:r>
      <w:r>
        <w:t xml:space="preserve">rom the National Student Survey; learning environment (LE) measured according to student satisfaction with academic support from the same survey and from continuation rates; student outcomes and learning gain (SO), which are currently reduced merely to employment figures, now including a highly-skilled employment metric, according to the Destination of Leavers from Higher Education survey and split by and benchmarked against type of course and students characteristics (other measures of learning-gain are still in development, with studies </w:t>
      </w:r>
      <w:r w:rsidRPr="002F7B1F">
        <w:t>piloted by the Higher Educat</w:t>
      </w:r>
      <w:r>
        <w:t>ion Funding Council for England that m</w:t>
      </w:r>
      <w:r w:rsidRPr="00323F45">
        <w:t>ay look into contact hours and teaching intensit</w:t>
      </w:r>
      <w:r>
        <w:t xml:space="preserve">y); </w:t>
      </w:r>
      <w:r w:rsidRPr="002708F2">
        <w:t>contextual evidence on circumstances and objectives provided by institutions (</w:t>
      </w:r>
      <w:r>
        <w:t xml:space="preserve">DOE 2016a, 18-20; </w:t>
      </w:r>
      <w:r w:rsidRPr="002708F2">
        <w:t>BIS 2016, 47; House of Commons Business, Innovation and Skills Committee 2016, 9).</w:t>
      </w:r>
      <w:proofErr w:type="gramEnd"/>
    </w:p>
  </w:footnote>
  <w:footnote w:id="2">
    <w:p w14:paraId="16E657C4" w14:textId="7A5B3B8A" w:rsidR="00DB6AE9" w:rsidRDefault="00DB6AE9">
      <w:pPr>
        <w:pStyle w:val="FootnoteText"/>
      </w:pPr>
      <w:r>
        <w:rPr>
          <w:rStyle w:val="FootnoteReference"/>
        </w:rPr>
        <w:footnoteRef/>
      </w:r>
      <w:r>
        <w:t xml:space="preserve"> </w:t>
      </w:r>
      <w:r w:rsidRPr="00580B55">
        <w:t xml:space="preserve">A brief reference in the 2011 White Paper (BIS 2011, 26-27) to Graham Gibbs’s report on </w:t>
      </w:r>
      <w:r w:rsidRPr="00580B55">
        <w:rPr>
          <w:i/>
        </w:rPr>
        <w:t>Dimension of Quality</w:t>
      </w:r>
      <w:r w:rsidRPr="00580B55">
        <w:t xml:space="preserve">, is undermined by the fact that Gibbs (2010) speaks not of excellence but rather quality in teaching, and none of the dimensions of teaching quality identified by Gibbs are </w:t>
      </w:r>
      <w:r>
        <w:t xml:space="preserve">currently </w:t>
      </w:r>
      <w:r w:rsidRPr="00580B55">
        <w:t>evaluated in the measurements for the TEF.</w:t>
      </w:r>
    </w:p>
  </w:footnote>
  <w:footnote w:id="3">
    <w:p w14:paraId="597F0E01" w14:textId="1D811724" w:rsidR="00DB6AE9" w:rsidRDefault="00DB6AE9" w:rsidP="007D0B5E">
      <w:pPr>
        <w:pStyle w:val="FootnoteText"/>
      </w:pPr>
      <w:r>
        <w:rPr>
          <w:rStyle w:val="FootnoteReference"/>
        </w:rPr>
        <w:footnoteRef/>
      </w:r>
      <w:r>
        <w:t xml:space="preserve"> </w:t>
      </w:r>
      <w:proofErr w:type="gramStart"/>
      <w:r w:rsidRPr="00AE66A3">
        <w:t>Cri</w:t>
      </w:r>
      <w:r>
        <w:t xml:space="preserve">tics of the TEF </w:t>
      </w:r>
      <w:r w:rsidRPr="00AE66A3">
        <w:t>have pointed out that, because it establishes no connection between individual teaching perform</w:t>
      </w:r>
      <w:r>
        <w:t>ance (nor even, until the move to subject level in 2019,</w:t>
      </w:r>
      <w:r w:rsidRPr="00AE66A3">
        <w:t xml:space="preserve"> teaching at departmental or faculty level</w:t>
      </w:r>
      <w:r>
        <w:t>, such as there is in the Research Excellence Framework</w:t>
      </w:r>
      <w:r w:rsidRPr="00AE66A3">
        <w:t>) and institutional assessment, there is little to act as a dir</w:t>
      </w:r>
      <w:r>
        <w:t>ect driver of teaching quality (</w:t>
      </w:r>
      <w:proofErr w:type="spellStart"/>
      <w:r w:rsidRPr="00AE66A3">
        <w:t>Kernohan</w:t>
      </w:r>
      <w:proofErr w:type="spellEnd"/>
      <w:r w:rsidRPr="00AE66A3">
        <w:t xml:space="preserve"> 2016)</w:t>
      </w:r>
      <w:r>
        <w:t>, and</w:t>
      </w:r>
      <w:r w:rsidRPr="00AE66A3">
        <w:t xml:space="preserve"> that the metrics used to evaluate excellence could even drive down the quality of teaching, since data being measured might encourage a “gaming” of the system to make it easier for students to progress and to reward student satisfaction rather than academic development (House of Commons Business, Innovation and Skills Committee 2016, 7-9).</w:t>
      </w:r>
      <w:proofErr w:type="gramEnd"/>
      <w:r w:rsidRPr="00903864">
        <w:t xml:space="preserve"> </w:t>
      </w:r>
      <w:proofErr w:type="gramStart"/>
      <w:r>
        <w:t>Similarly</w:t>
      </w:r>
      <w:r w:rsidRPr="00975A69">
        <w:t>, the incentives used to reward teaching excellence raise problems in relation to quality teaching, not least because the consequence of students rating te</w:t>
      </w:r>
      <w:r>
        <w:t>aching and learning highly is likely to</w:t>
      </w:r>
      <w:r w:rsidRPr="00975A69">
        <w:t xml:space="preserve"> be increased tuition fees (the</w:t>
      </w:r>
      <w:r>
        <w:t xml:space="preserve"> National Union of Students is currently trying to coordinate a </w:t>
      </w:r>
      <w:r w:rsidRPr="00975A69">
        <w:t>boycott</w:t>
      </w:r>
      <w:r>
        <w:t xml:space="preserve"> of</w:t>
      </w:r>
      <w:r w:rsidRPr="00975A69">
        <w:t xml:space="preserve"> the National Student Survey</w:t>
      </w:r>
      <w:r>
        <w:t xml:space="preserve"> in response to the TEF</w:t>
      </w:r>
      <w:r w:rsidRPr="00975A69">
        <w:t>) and cohort sizes for future students (contradicting one of Gibbs’s key dimensions of quality teaching</w:t>
      </w:r>
      <w:r>
        <w:t>).</w:t>
      </w:r>
      <w:proofErr w:type="gramEnd"/>
    </w:p>
  </w:footnote>
  <w:footnote w:id="4">
    <w:p w14:paraId="72472215" w14:textId="5E2CB8B5" w:rsidR="00DB6AE9" w:rsidRDefault="00DB6AE9">
      <w:pPr>
        <w:pStyle w:val="FootnoteText"/>
      </w:pPr>
      <w:r>
        <w:rPr>
          <w:rStyle w:val="FootnoteReference"/>
        </w:rPr>
        <w:footnoteRef/>
      </w:r>
      <w:r>
        <w:t xml:space="preserve"> </w:t>
      </w:r>
      <w:proofErr w:type="gramStart"/>
      <w:r>
        <w:t>Prior to the TEF, for example, the government (BIS 2011, 32) had hoped ‘the student experience’ alone would informally provide a comparable lever (a proxy even further removed from quality teaching), suggesting that ‘Students will increasingly use the instant communication tools of the twenty first century such as Twitter and Facebook to share their views on their student experience with their friends, families and the wider world,’ such that ‘Better informed students will take their custom to the places offering good value for money.</w:t>
      </w:r>
      <w:proofErr w:type="gramEnd"/>
      <w:r>
        <w:t xml:space="preserve"> In this way, excellent teaching will be placed back at the heart of every student’s university experience’. Similarly, the TEF is designed to create a more variated market ostensibly through the introduction of a differential fee uplift (in line with the rate of inflation for those achieving a Bronze rating or higher and, from 2018 onwards, at 50% of forecasted inflation or in line with inflation for those that achieve the highest ratings, which is more practically a fee squeeze for most), but probably primarily as a reputational marketing tool for institutions to compete over increased student numbers following the abolition of the numbers cap for established HE institutions in 2015 (BIS 2016, 51)</w:t>
      </w:r>
    </w:p>
  </w:footnote>
  <w:footnote w:id="5">
    <w:p w14:paraId="107B787E" w14:textId="762E4977" w:rsidR="00DB6AE9" w:rsidRDefault="00DB6AE9">
      <w:pPr>
        <w:pStyle w:val="FootnoteText"/>
      </w:pPr>
      <w:r>
        <w:rPr>
          <w:rStyle w:val="FootnoteReference"/>
        </w:rPr>
        <w:footnoteRef/>
      </w:r>
      <w:r>
        <w:t xml:space="preserve"> </w:t>
      </w:r>
      <w:proofErr w:type="gramStart"/>
      <w:r>
        <w:t>W</w:t>
      </w:r>
      <w:r w:rsidRPr="00A43F32">
        <w:t xml:space="preserve">hile Dearing’s 1994 review of </w:t>
      </w:r>
      <w:r w:rsidRPr="00A43F32">
        <w:rPr>
          <w:i/>
        </w:rPr>
        <w:t>The National Curriculum and its Assessment</w:t>
      </w:r>
      <w:r w:rsidRPr="00A43F32">
        <w:t xml:space="preserve"> in schools contains no mentions of teaching excellence or </w:t>
      </w:r>
      <w:r>
        <w:t xml:space="preserve">of </w:t>
      </w:r>
      <w:r w:rsidRPr="00A43F32">
        <w:t>othe</w:t>
      </w:r>
      <w:r>
        <w:t>r key phrases utilized in the Dearing Re</w:t>
      </w:r>
      <w:r w:rsidRPr="00A43F32">
        <w:t xml:space="preserve">port, such as the </w:t>
      </w:r>
      <w:r>
        <w:t>‘</w:t>
      </w:r>
      <w:r w:rsidRPr="00A43F32">
        <w:t>scholarship of learning and teaching</w:t>
      </w:r>
      <w:r>
        <w:t xml:space="preserve">’ </w:t>
      </w:r>
      <w:r w:rsidRPr="00A43F32">
        <w:t>or the</w:t>
      </w:r>
      <w:r>
        <w:t xml:space="preserve"> ‘</w:t>
      </w:r>
      <w:r w:rsidRPr="00A43F32">
        <w:t>learning society</w:t>
      </w:r>
      <w:r>
        <w:t>’</w:t>
      </w:r>
      <w:r w:rsidRPr="00A43F32">
        <w:t xml:space="preserve"> (not even in the review’s discussion of the assessment of teachers and of the value added by schools),</w:t>
      </w:r>
      <w:r w:rsidRPr="00A43F32">
        <w:rPr>
          <w:i/>
        </w:rPr>
        <w:t xml:space="preserve"> </w:t>
      </w:r>
      <w:r w:rsidRPr="00A43F32">
        <w:t>the</w:t>
      </w:r>
      <w:r>
        <w:t>se terms become central to the report on higher education</w:t>
      </w:r>
      <w:r w:rsidRPr="00A43F32">
        <w:t xml:space="preserve"> three years later.</w:t>
      </w:r>
      <w:proofErr w:type="gramEnd"/>
    </w:p>
  </w:footnote>
  <w:footnote w:id="6">
    <w:p w14:paraId="27DF4D8C" w14:textId="7DC76DF9" w:rsidR="00DB6AE9" w:rsidRDefault="00DB6AE9">
      <w:pPr>
        <w:pStyle w:val="FootnoteText"/>
      </w:pPr>
      <w:r>
        <w:rPr>
          <w:rStyle w:val="FootnoteReference"/>
        </w:rPr>
        <w:footnoteRef/>
      </w:r>
      <w:r>
        <w:t xml:space="preserve"> </w:t>
      </w:r>
      <w:proofErr w:type="gramStart"/>
      <w:r w:rsidRPr="00E63431">
        <w:rPr>
          <w:i/>
        </w:rPr>
        <w:t>Building Communities</w:t>
      </w:r>
      <w:r w:rsidRPr="00E63431">
        <w:t xml:space="preserve"> (Commission on the Future of Community Colleges 1988), the report of the Commission of the Future of Community Colleges of which Boyer was Chair, went on to recommend the idea that excellence in teaching needed to be formally recognized and rewarded in teaching-intensive community colleges, while Boyer’s </w:t>
      </w:r>
      <w:r w:rsidRPr="00E63431">
        <w:rPr>
          <w:i/>
        </w:rPr>
        <w:t>Scholarship Reconsidered</w:t>
      </w:r>
      <w:r w:rsidRPr="00E63431">
        <w:t xml:space="preserve"> (1990) generalized and developed these ideas across the American higher education system more broadly,  calling for an expansion of the conception of academic scholarship beyond the ‘discovery’ of research to include integration, application and teaching, with excellence a yardstick against which all forms of scholarship are to be measured and evaluated.</w:t>
      </w:r>
      <w:proofErr w:type="gramEnd"/>
    </w:p>
  </w:footnote>
  <w:footnote w:id="7">
    <w:p w14:paraId="471A5B68" w14:textId="2FDD6DED" w:rsidR="00DB6AE9" w:rsidRDefault="00DB6AE9">
      <w:pPr>
        <w:pStyle w:val="FootnoteText"/>
      </w:pPr>
      <w:r>
        <w:rPr>
          <w:rStyle w:val="FootnoteReference"/>
        </w:rPr>
        <w:footnoteRef/>
      </w:r>
      <w:r>
        <w:t xml:space="preserve"> </w:t>
      </w:r>
      <w:proofErr w:type="gramStart"/>
      <w:r>
        <w:t>M</w:t>
      </w:r>
      <w:r w:rsidRPr="003F1A8C">
        <w:t>uch of the early research on investment in education and other kinds of human capital was sponsored by the National Bureau of Research with support from the Carnegie Corporation of New York (Schultz 1972, 17, 26, 59; Becker 1962, 9, n.1), which was closely associated with the Carnegie Foundation for the Advancement of Teaching prior to its separation, with Boyer as president, in 1979, and both the Carnegie Corporation and Foundation continues to promote such research.</w:t>
      </w:r>
      <w:proofErr w:type="gramEnd"/>
      <w:r w:rsidRPr="003F1A8C">
        <w:t xml:space="preserve"> In a contribution on ‘Elementary and second education’ to </w:t>
      </w:r>
      <w:r w:rsidRPr="00567575">
        <w:rPr>
          <w:i/>
        </w:rPr>
        <w:t>Human Capital and America’s Future: An Economic Strategy for the 90s</w:t>
      </w:r>
      <w:r w:rsidRPr="003F1A8C">
        <w:t>, for example, Boyer (1991, 171) insisted that ‘education and the national economy are inextricably connected.’</w:t>
      </w:r>
    </w:p>
  </w:footnote>
  <w:footnote w:id="8">
    <w:p w14:paraId="53166EC8" w14:textId="0B43152E" w:rsidR="00DB6AE9" w:rsidRDefault="00DB6AE9">
      <w:pPr>
        <w:pStyle w:val="FootnoteText"/>
      </w:pPr>
      <w:r>
        <w:rPr>
          <w:rStyle w:val="FootnoteReference"/>
        </w:rPr>
        <w:footnoteRef/>
      </w:r>
      <w:r>
        <w:t xml:space="preserve"> </w:t>
      </w:r>
      <w:proofErr w:type="spellStart"/>
      <w:r w:rsidRPr="004B04AB">
        <w:t>McGettigan</w:t>
      </w:r>
      <w:proofErr w:type="spellEnd"/>
      <w:r w:rsidRPr="004B04AB">
        <w:t xml:space="preserve"> (2015, 6) also suggest that on this model of human capital, ‘funding will increasingly follow the creditworthiness of institutions and individuals, rather than the costs of course delivery’ (it should be added the quantitative metrics currently proposed to measure teaching excellence in the TEF are ideally aligned to enable this).</w:t>
      </w:r>
    </w:p>
  </w:footnote>
  <w:footnote w:id="9">
    <w:p w14:paraId="4B6FBB6C" w14:textId="77777777" w:rsidR="00C26288" w:rsidRDefault="00C26288" w:rsidP="00C26288">
      <w:pPr>
        <w:pStyle w:val="FootnoteText"/>
      </w:pPr>
      <w:r>
        <w:rPr>
          <w:rStyle w:val="FootnoteReference"/>
        </w:rPr>
        <w:footnoteRef/>
      </w:r>
      <w:r>
        <w:t xml:space="preserve"> </w:t>
      </w:r>
      <w:proofErr w:type="gramStart"/>
      <w:r w:rsidRPr="007F6AAD">
        <w:t>For these reasons, the expansion of educational opportunities may be favourable to the capitalist class in terms of the production of an increasingly knowledgeable, skilled and self-motivated workforce that may nonetheless also become increasingly impoverished (indeed, in ways that may have enriched the owners of non-human capital invested in the education industry) and whose earning potential may nonetheless depreciate quicker than estimated or even stagnate in a crowded labour market (such as recent reports (Kemp-King 2016) on the decline of the graduate premium have suggested).</w:t>
      </w:r>
      <w:proofErr w:type="gramEnd"/>
    </w:p>
  </w:footnote>
  <w:footnote w:id="10">
    <w:p w14:paraId="2CDF07C6" w14:textId="05FC8530" w:rsidR="00DB6AE9" w:rsidRDefault="00DB6AE9" w:rsidP="006021C2">
      <w:pPr>
        <w:pStyle w:val="FootnoteText"/>
      </w:pPr>
      <w:r>
        <w:rPr>
          <w:rStyle w:val="FootnoteReference"/>
        </w:rPr>
        <w:footnoteRef/>
      </w:r>
      <w:r>
        <w:t xml:space="preserve"> </w:t>
      </w:r>
      <w:r w:rsidRPr="00C03C66">
        <w:t>Although Healey (2005, 197, n.1), for example, notes that the research-teaching nexus works in both directions, he chooses to focus only on the impact of research upon teaching and of the benefits to undergraduate students.</w:t>
      </w:r>
      <w:r>
        <w:t xml:space="preserve"> </w:t>
      </w:r>
      <w:r w:rsidRPr="006021C2">
        <w:t xml:space="preserve">In a 2012 report by the Consortium for Research Excellence, Support and Training, </w:t>
      </w:r>
      <w:proofErr w:type="spellStart"/>
      <w:r w:rsidRPr="006021C2">
        <w:t>Callinan</w:t>
      </w:r>
      <w:proofErr w:type="spellEnd"/>
      <w:r w:rsidRPr="006021C2">
        <w:t xml:space="preserve">, Sharp and </w:t>
      </w:r>
      <w:proofErr w:type="spellStart"/>
      <w:r w:rsidRPr="006021C2">
        <w:t>Hemmings</w:t>
      </w:r>
      <w:proofErr w:type="spellEnd"/>
      <w:r w:rsidRPr="006021C2">
        <w:t xml:space="preserve"> (2012) mention several times the idea of teaching-led and teaching-focused research but </w:t>
      </w:r>
      <w:proofErr w:type="gramStart"/>
      <w:r w:rsidRPr="006021C2">
        <w:t>don’t</w:t>
      </w:r>
      <w:proofErr w:type="gramEnd"/>
      <w:r w:rsidRPr="006021C2">
        <w:t xml:space="preserve"> define or expand on this term. Acknowledging that </w:t>
      </w:r>
      <w:proofErr w:type="gramStart"/>
      <w:r w:rsidRPr="006021C2">
        <w:t>few</w:t>
      </w:r>
      <w:proofErr w:type="gramEnd"/>
      <w:r w:rsidRPr="006021C2">
        <w:t xml:space="preserve"> studies have directly examined how teaching relates to and enhances research, Harland (2016) draws attention to the work of </w:t>
      </w:r>
      <w:proofErr w:type="spellStart"/>
      <w:r w:rsidRPr="006021C2">
        <w:t>Colbeck</w:t>
      </w:r>
      <w:proofErr w:type="spellEnd"/>
      <w:r w:rsidRPr="006021C2">
        <w:t xml:space="preserve"> (1998), Brew (2006) and Robertson (2007). </w:t>
      </w:r>
      <w:proofErr w:type="gramStart"/>
      <w:r w:rsidRPr="006021C2">
        <w:t xml:space="preserve">In empirical research on the impact of teaching on research, Robertson (2007, 549) concludes that ‘those who had not made an automatic link from teaching to research generally acknowledged that there was a connection which supported and enhanced their research endeavours’ and that this enhancement was especially noted by those working in the humanities, a perception also noted by </w:t>
      </w:r>
      <w:proofErr w:type="spellStart"/>
      <w:r w:rsidRPr="006021C2">
        <w:t>Smeby</w:t>
      </w:r>
      <w:proofErr w:type="spellEnd"/>
      <w:r w:rsidRPr="006021C2">
        <w:t xml:space="preserve"> (1998, 14), who categorizes such interaction as </w:t>
      </w:r>
      <w:r w:rsidRPr="006021C2">
        <w:rPr>
          <w:i/>
        </w:rPr>
        <w:t>indirect</w:t>
      </w:r>
      <w:r w:rsidRPr="006021C2">
        <w:t xml:space="preserve"> when teaching helps with understanding and maintaining knowledge of the breadth of the subject and </w:t>
      </w:r>
      <w:r w:rsidRPr="006021C2">
        <w:rPr>
          <w:i/>
        </w:rPr>
        <w:t>direct</w:t>
      </w:r>
      <w:r w:rsidRPr="006021C2">
        <w:t xml:space="preserve"> when teaching generates specific ideas and problems followed up in research.</w:t>
      </w:r>
      <w:proofErr w:type="gramEnd"/>
      <w:r w:rsidRPr="006021C2">
        <w:t xml:space="preserve"> Neumann (1992) also points out that for those involved in academic research, teaching often provides a continually fresh source of contact with the wider world</w:t>
      </w:r>
    </w:p>
  </w:footnote>
  <w:footnote w:id="11">
    <w:p w14:paraId="130512AB" w14:textId="3127CA09" w:rsidR="00DB6AE9" w:rsidRDefault="00DB6AE9" w:rsidP="004D797D">
      <w:pPr>
        <w:pStyle w:val="FootnoteText"/>
      </w:pPr>
      <w:r>
        <w:rPr>
          <w:rStyle w:val="FootnoteReference"/>
        </w:rPr>
        <w:footnoteRef/>
      </w:r>
      <w:r>
        <w:t xml:space="preserve"> </w:t>
      </w:r>
      <w:proofErr w:type="gramStart"/>
      <w:r w:rsidRPr="004D797D">
        <w:t xml:space="preserve">The concept of </w:t>
      </w:r>
      <w:proofErr w:type="spellStart"/>
      <w:r w:rsidRPr="004D797D">
        <w:t>trandisciplinarity</w:t>
      </w:r>
      <w:proofErr w:type="spellEnd"/>
      <w:r>
        <w:t xml:space="preserve"> is introduced by educational theorists </w:t>
      </w:r>
      <w:proofErr w:type="spellStart"/>
      <w:r w:rsidRPr="004D797D">
        <w:t>Jantsch</w:t>
      </w:r>
      <w:proofErr w:type="spellEnd"/>
      <w:r w:rsidRPr="004D797D">
        <w:t xml:space="preserve"> (1970, 1972) and Piaget (1972)</w:t>
      </w:r>
      <w:proofErr w:type="gramEnd"/>
      <w:r>
        <w:t xml:space="preserve"> in the 1970s. </w:t>
      </w:r>
      <w:proofErr w:type="gramStart"/>
      <w:r>
        <w:t>T</w:t>
      </w:r>
      <w:r w:rsidRPr="004D797D">
        <w:t>he term has been critically recuperated</w:t>
      </w:r>
      <w:r>
        <w:t xml:space="preserve"> more recently</w:t>
      </w:r>
      <w:r w:rsidRPr="004D797D">
        <w:t xml:space="preserve"> by Osborne (2011)</w:t>
      </w:r>
      <w:proofErr w:type="gramEnd"/>
      <w:r w:rsidRPr="004D797D">
        <w:t xml:space="preserve"> and others to describe a philosophical impulse exemplified in the research project of the first generation of Frankfurt School critical theorists,</w:t>
      </w:r>
      <w:r>
        <w:t xml:space="preserve"> such as Adorno, </w:t>
      </w:r>
      <w:proofErr w:type="spellStart"/>
      <w:r>
        <w:t>Horkheimer</w:t>
      </w:r>
      <w:proofErr w:type="spellEnd"/>
      <w:r>
        <w:t xml:space="preserve"> and Benjamin, in the 1930s. The link between teaching and </w:t>
      </w:r>
      <w:proofErr w:type="spellStart"/>
      <w:r>
        <w:t>transdisciplinarity</w:t>
      </w:r>
      <w:proofErr w:type="spellEnd"/>
      <w:r>
        <w:t xml:space="preserve">, anticipated in Benjamin’s critical theory of education, </w:t>
      </w:r>
      <w:proofErr w:type="gramStart"/>
      <w:r>
        <w:t>is, however, omitted</w:t>
      </w:r>
      <w:proofErr w:type="gramEnd"/>
      <w:r>
        <w:t xml:space="preserve"> in </w:t>
      </w:r>
      <w:proofErr w:type="spellStart"/>
      <w:r>
        <w:t>Jantsch</w:t>
      </w:r>
      <w:proofErr w:type="spellEnd"/>
      <w:r>
        <w:t xml:space="preserve">, Piaget and Osborne’s use of the term.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733269"/>
      <w:docPartObj>
        <w:docPartGallery w:val="Page Numbers (Top of Page)"/>
        <w:docPartUnique/>
      </w:docPartObj>
    </w:sdtPr>
    <w:sdtEndPr>
      <w:rPr>
        <w:noProof/>
        <w:sz w:val="18"/>
        <w:szCs w:val="18"/>
      </w:rPr>
    </w:sdtEndPr>
    <w:sdtContent>
      <w:p w14:paraId="39C01D61" w14:textId="1DFDF806" w:rsidR="00DB6AE9" w:rsidRPr="00C26288" w:rsidRDefault="00DB6AE9">
        <w:pPr>
          <w:pStyle w:val="Header"/>
          <w:jc w:val="right"/>
          <w:rPr>
            <w:sz w:val="18"/>
            <w:szCs w:val="18"/>
          </w:rPr>
        </w:pPr>
        <w:r w:rsidRPr="00C26288">
          <w:rPr>
            <w:sz w:val="18"/>
            <w:szCs w:val="18"/>
          </w:rPr>
          <w:fldChar w:fldCharType="begin"/>
        </w:r>
        <w:r w:rsidRPr="00C26288">
          <w:rPr>
            <w:sz w:val="18"/>
            <w:szCs w:val="18"/>
          </w:rPr>
          <w:instrText xml:space="preserve"> PAGE   \* MERGEFORMAT </w:instrText>
        </w:r>
        <w:r w:rsidRPr="00C26288">
          <w:rPr>
            <w:sz w:val="18"/>
            <w:szCs w:val="18"/>
          </w:rPr>
          <w:fldChar w:fldCharType="separate"/>
        </w:r>
        <w:r w:rsidR="00A85426">
          <w:rPr>
            <w:noProof/>
            <w:sz w:val="18"/>
            <w:szCs w:val="18"/>
          </w:rPr>
          <w:t>20</w:t>
        </w:r>
        <w:r w:rsidRPr="00C26288">
          <w:rPr>
            <w:noProof/>
            <w:sz w:val="18"/>
            <w:szCs w:val="18"/>
          </w:rPr>
          <w:fldChar w:fldCharType="end"/>
        </w:r>
      </w:p>
    </w:sdtContent>
  </w:sdt>
  <w:p w14:paraId="10FF9A51" w14:textId="77777777" w:rsidR="00DB6AE9" w:rsidRDefault="00DB6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F6B"/>
    <w:multiLevelType w:val="hybridMultilevel"/>
    <w:tmpl w:val="93629EAA"/>
    <w:lvl w:ilvl="0" w:tplc="CE401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595C"/>
    <w:multiLevelType w:val="hybridMultilevel"/>
    <w:tmpl w:val="07BE596E"/>
    <w:lvl w:ilvl="0" w:tplc="7038A394">
      <w:start w:val="1"/>
      <w:numFmt w:val="bullet"/>
      <w:lvlText w:val="-"/>
      <w:lvlJc w:val="left"/>
      <w:pPr>
        <w:ind w:left="720" w:hanging="360"/>
      </w:pPr>
      <w:rPr>
        <w:rFonts w:ascii="Berkeley-Medium" w:eastAsiaTheme="minorHAnsi" w:hAnsi="Berkeley-Medium" w:cs="Berkeley-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4DAE"/>
    <w:multiLevelType w:val="hybridMultilevel"/>
    <w:tmpl w:val="279039C4"/>
    <w:lvl w:ilvl="0" w:tplc="D428C196">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F5177"/>
    <w:multiLevelType w:val="multilevel"/>
    <w:tmpl w:val="2D4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F4F7B"/>
    <w:multiLevelType w:val="hybridMultilevel"/>
    <w:tmpl w:val="48880D80"/>
    <w:lvl w:ilvl="0" w:tplc="E2E86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D7571"/>
    <w:multiLevelType w:val="multilevel"/>
    <w:tmpl w:val="688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131CA"/>
    <w:multiLevelType w:val="hybridMultilevel"/>
    <w:tmpl w:val="95A8C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982957"/>
    <w:multiLevelType w:val="hybridMultilevel"/>
    <w:tmpl w:val="AFEC71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73AF7"/>
    <w:multiLevelType w:val="hybridMultilevel"/>
    <w:tmpl w:val="E9B4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2444C"/>
    <w:multiLevelType w:val="hybridMultilevel"/>
    <w:tmpl w:val="2196F0FA"/>
    <w:lvl w:ilvl="0" w:tplc="42562A1E">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E7473"/>
    <w:multiLevelType w:val="hybridMultilevel"/>
    <w:tmpl w:val="E63E9F3A"/>
    <w:lvl w:ilvl="0" w:tplc="E70E9D3E">
      <w:start w:val="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3E7443"/>
    <w:multiLevelType w:val="multilevel"/>
    <w:tmpl w:val="1480E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80A4B"/>
    <w:multiLevelType w:val="multilevel"/>
    <w:tmpl w:val="414C8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D7604"/>
    <w:multiLevelType w:val="hybridMultilevel"/>
    <w:tmpl w:val="1A00F1CA"/>
    <w:lvl w:ilvl="0" w:tplc="5A4436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11"/>
  </w:num>
  <w:num w:numId="6">
    <w:abstractNumId w:val="12"/>
  </w:num>
  <w:num w:numId="7">
    <w:abstractNumId w:val="3"/>
  </w:num>
  <w:num w:numId="8">
    <w:abstractNumId w:val="12"/>
  </w:num>
  <w:num w:numId="9">
    <w:abstractNumId w:val="5"/>
  </w:num>
  <w:num w:numId="10">
    <w:abstractNumId w:val="4"/>
  </w:num>
  <w:num w:numId="11">
    <w:abstractNumId w:val="9"/>
  </w:num>
  <w:num w:numId="12">
    <w:abstractNumId w:val="2"/>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52"/>
    <w:rsid w:val="000022D0"/>
    <w:rsid w:val="00011EA6"/>
    <w:rsid w:val="00014689"/>
    <w:rsid w:val="00021B23"/>
    <w:rsid w:val="00023803"/>
    <w:rsid w:val="00025B36"/>
    <w:rsid w:val="00025C13"/>
    <w:rsid w:val="00027BDE"/>
    <w:rsid w:val="000330D5"/>
    <w:rsid w:val="000361E7"/>
    <w:rsid w:val="00037710"/>
    <w:rsid w:val="00046A27"/>
    <w:rsid w:val="00046F5E"/>
    <w:rsid w:val="00051CDB"/>
    <w:rsid w:val="00063E1F"/>
    <w:rsid w:val="00063F69"/>
    <w:rsid w:val="000650B0"/>
    <w:rsid w:val="00066DBA"/>
    <w:rsid w:val="000730B9"/>
    <w:rsid w:val="0007591C"/>
    <w:rsid w:val="00077A83"/>
    <w:rsid w:val="00096D1A"/>
    <w:rsid w:val="0009771F"/>
    <w:rsid w:val="000C0991"/>
    <w:rsid w:val="000C2A46"/>
    <w:rsid w:val="000D0A07"/>
    <w:rsid w:val="000E50C1"/>
    <w:rsid w:val="000F54F7"/>
    <w:rsid w:val="0012171B"/>
    <w:rsid w:val="00122981"/>
    <w:rsid w:val="00125F4C"/>
    <w:rsid w:val="0013492D"/>
    <w:rsid w:val="00150F7D"/>
    <w:rsid w:val="00152C37"/>
    <w:rsid w:val="00157C68"/>
    <w:rsid w:val="0016266C"/>
    <w:rsid w:val="00164EFA"/>
    <w:rsid w:val="00170298"/>
    <w:rsid w:val="001722CB"/>
    <w:rsid w:val="00180980"/>
    <w:rsid w:val="00182911"/>
    <w:rsid w:val="00184245"/>
    <w:rsid w:val="00191955"/>
    <w:rsid w:val="00196752"/>
    <w:rsid w:val="001A71E3"/>
    <w:rsid w:val="001B0C42"/>
    <w:rsid w:val="001B1459"/>
    <w:rsid w:val="001C0B16"/>
    <w:rsid w:val="001C3291"/>
    <w:rsid w:val="001C79CF"/>
    <w:rsid w:val="001D0A00"/>
    <w:rsid w:val="001E1D7C"/>
    <w:rsid w:val="001E3BBA"/>
    <w:rsid w:val="001F796E"/>
    <w:rsid w:val="00205057"/>
    <w:rsid w:val="00222EFC"/>
    <w:rsid w:val="002272D8"/>
    <w:rsid w:val="00232FCD"/>
    <w:rsid w:val="00244504"/>
    <w:rsid w:val="0024595E"/>
    <w:rsid w:val="002471ED"/>
    <w:rsid w:val="002508E9"/>
    <w:rsid w:val="002523CE"/>
    <w:rsid w:val="00252478"/>
    <w:rsid w:val="0025310B"/>
    <w:rsid w:val="0025427C"/>
    <w:rsid w:val="00256D56"/>
    <w:rsid w:val="002574AC"/>
    <w:rsid w:val="00260CFF"/>
    <w:rsid w:val="0026198A"/>
    <w:rsid w:val="002708F2"/>
    <w:rsid w:val="00280910"/>
    <w:rsid w:val="00283F19"/>
    <w:rsid w:val="00287DFD"/>
    <w:rsid w:val="0029021E"/>
    <w:rsid w:val="00294803"/>
    <w:rsid w:val="002B2651"/>
    <w:rsid w:val="002C5C2B"/>
    <w:rsid w:val="002D3A88"/>
    <w:rsid w:val="002D4282"/>
    <w:rsid w:val="002D4E35"/>
    <w:rsid w:val="002D6AC6"/>
    <w:rsid w:val="002E1054"/>
    <w:rsid w:val="002E4A7C"/>
    <w:rsid w:val="002E6761"/>
    <w:rsid w:val="002E6913"/>
    <w:rsid w:val="002E7042"/>
    <w:rsid w:val="002F7B1F"/>
    <w:rsid w:val="003038CC"/>
    <w:rsid w:val="00303C91"/>
    <w:rsid w:val="00306144"/>
    <w:rsid w:val="00307B29"/>
    <w:rsid w:val="00311F24"/>
    <w:rsid w:val="003217C2"/>
    <w:rsid w:val="00323F45"/>
    <w:rsid w:val="00326C56"/>
    <w:rsid w:val="003303BC"/>
    <w:rsid w:val="003314B5"/>
    <w:rsid w:val="0033178F"/>
    <w:rsid w:val="003410D2"/>
    <w:rsid w:val="00341789"/>
    <w:rsid w:val="003603E1"/>
    <w:rsid w:val="0036053A"/>
    <w:rsid w:val="003671F8"/>
    <w:rsid w:val="003707E1"/>
    <w:rsid w:val="0037286F"/>
    <w:rsid w:val="00373213"/>
    <w:rsid w:val="00373324"/>
    <w:rsid w:val="0037397D"/>
    <w:rsid w:val="00374945"/>
    <w:rsid w:val="0038725E"/>
    <w:rsid w:val="00390D8F"/>
    <w:rsid w:val="00391BBA"/>
    <w:rsid w:val="00394C26"/>
    <w:rsid w:val="003A1A05"/>
    <w:rsid w:val="003A3680"/>
    <w:rsid w:val="003B64B9"/>
    <w:rsid w:val="003C3F0B"/>
    <w:rsid w:val="003D41F3"/>
    <w:rsid w:val="003E67E0"/>
    <w:rsid w:val="003F021C"/>
    <w:rsid w:val="003F198C"/>
    <w:rsid w:val="003F1A8C"/>
    <w:rsid w:val="003F3339"/>
    <w:rsid w:val="003F5507"/>
    <w:rsid w:val="00416496"/>
    <w:rsid w:val="0041790A"/>
    <w:rsid w:val="00422181"/>
    <w:rsid w:val="00422C29"/>
    <w:rsid w:val="00424F2B"/>
    <w:rsid w:val="00427DA5"/>
    <w:rsid w:val="00430508"/>
    <w:rsid w:val="004321EA"/>
    <w:rsid w:val="00434E24"/>
    <w:rsid w:val="00441C94"/>
    <w:rsid w:val="00450E75"/>
    <w:rsid w:val="00450F37"/>
    <w:rsid w:val="004557A4"/>
    <w:rsid w:val="00460FCE"/>
    <w:rsid w:val="0046778D"/>
    <w:rsid w:val="00471EE0"/>
    <w:rsid w:val="00474898"/>
    <w:rsid w:val="00477C96"/>
    <w:rsid w:val="004834C2"/>
    <w:rsid w:val="00484173"/>
    <w:rsid w:val="0048650A"/>
    <w:rsid w:val="004874A2"/>
    <w:rsid w:val="004933DE"/>
    <w:rsid w:val="0049497B"/>
    <w:rsid w:val="00495CE7"/>
    <w:rsid w:val="00497E3D"/>
    <w:rsid w:val="004A11CC"/>
    <w:rsid w:val="004B04AB"/>
    <w:rsid w:val="004B053B"/>
    <w:rsid w:val="004D797D"/>
    <w:rsid w:val="004E217A"/>
    <w:rsid w:val="004E3276"/>
    <w:rsid w:val="004E3FC8"/>
    <w:rsid w:val="004E7FBB"/>
    <w:rsid w:val="004F4F57"/>
    <w:rsid w:val="005129C0"/>
    <w:rsid w:val="00522BEB"/>
    <w:rsid w:val="005239B9"/>
    <w:rsid w:val="00526570"/>
    <w:rsid w:val="00531D2A"/>
    <w:rsid w:val="00537A7C"/>
    <w:rsid w:val="00537BD8"/>
    <w:rsid w:val="00543B81"/>
    <w:rsid w:val="00553895"/>
    <w:rsid w:val="00553A93"/>
    <w:rsid w:val="005622C4"/>
    <w:rsid w:val="00563038"/>
    <w:rsid w:val="005643E1"/>
    <w:rsid w:val="005666E1"/>
    <w:rsid w:val="0056671E"/>
    <w:rsid w:val="00567575"/>
    <w:rsid w:val="00574624"/>
    <w:rsid w:val="00580B55"/>
    <w:rsid w:val="00582485"/>
    <w:rsid w:val="0058762E"/>
    <w:rsid w:val="005A4DF9"/>
    <w:rsid w:val="005B0E17"/>
    <w:rsid w:val="005C3E8D"/>
    <w:rsid w:val="005C68C0"/>
    <w:rsid w:val="005C74F6"/>
    <w:rsid w:val="005D13E2"/>
    <w:rsid w:val="005D5552"/>
    <w:rsid w:val="005D66CC"/>
    <w:rsid w:val="005D6AA3"/>
    <w:rsid w:val="005F3136"/>
    <w:rsid w:val="0060116B"/>
    <w:rsid w:val="006021C2"/>
    <w:rsid w:val="00602C95"/>
    <w:rsid w:val="00603407"/>
    <w:rsid w:val="00605550"/>
    <w:rsid w:val="00610D66"/>
    <w:rsid w:val="006112BE"/>
    <w:rsid w:val="006154DA"/>
    <w:rsid w:val="00617872"/>
    <w:rsid w:val="00624829"/>
    <w:rsid w:val="00626C76"/>
    <w:rsid w:val="006274E9"/>
    <w:rsid w:val="006402F7"/>
    <w:rsid w:val="00640B3C"/>
    <w:rsid w:val="00646ECD"/>
    <w:rsid w:val="006557CD"/>
    <w:rsid w:val="00663357"/>
    <w:rsid w:val="00666FC2"/>
    <w:rsid w:val="00676852"/>
    <w:rsid w:val="00677799"/>
    <w:rsid w:val="00682B47"/>
    <w:rsid w:val="00686FE7"/>
    <w:rsid w:val="006958DE"/>
    <w:rsid w:val="0069710D"/>
    <w:rsid w:val="006A3620"/>
    <w:rsid w:val="006A4834"/>
    <w:rsid w:val="006A5380"/>
    <w:rsid w:val="006A7E80"/>
    <w:rsid w:val="006B3CD8"/>
    <w:rsid w:val="006C597C"/>
    <w:rsid w:val="006D1FB4"/>
    <w:rsid w:val="006E017D"/>
    <w:rsid w:val="006E312A"/>
    <w:rsid w:val="006E7053"/>
    <w:rsid w:val="00701612"/>
    <w:rsid w:val="0071133E"/>
    <w:rsid w:val="00711D3C"/>
    <w:rsid w:val="00712670"/>
    <w:rsid w:val="00713134"/>
    <w:rsid w:val="0071316D"/>
    <w:rsid w:val="007163EB"/>
    <w:rsid w:val="007261CA"/>
    <w:rsid w:val="007277E3"/>
    <w:rsid w:val="007278E1"/>
    <w:rsid w:val="00735B3F"/>
    <w:rsid w:val="00750A62"/>
    <w:rsid w:val="00751533"/>
    <w:rsid w:val="00753AA2"/>
    <w:rsid w:val="00754A47"/>
    <w:rsid w:val="0075737F"/>
    <w:rsid w:val="00760665"/>
    <w:rsid w:val="00772F0A"/>
    <w:rsid w:val="00774F99"/>
    <w:rsid w:val="00775690"/>
    <w:rsid w:val="00777A2A"/>
    <w:rsid w:val="00790D5F"/>
    <w:rsid w:val="00793911"/>
    <w:rsid w:val="00796DF3"/>
    <w:rsid w:val="007A271A"/>
    <w:rsid w:val="007A512A"/>
    <w:rsid w:val="007B2538"/>
    <w:rsid w:val="007B3A39"/>
    <w:rsid w:val="007B4A64"/>
    <w:rsid w:val="007C2001"/>
    <w:rsid w:val="007C237B"/>
    <w:rsid w:val="007C3989"/>
    <w:rsid w:val="007D0B5E"/>
    <w:rsid w:val="007D72A7"/>
    <w:rsid w:val="007E32BC"/>
    <w:rsid w:val="007F4E49"/>
    <w:rsid w:val="007F6AAD"/>
    <w:rsid w:val="007F7B3B"/>
    <w:rsid w:val="008061B7"/>
    <w:rsid w:val="00807577"/>
    <w:rsid w:val="008101F2"/>
    <w:rsid w:val="0081363C"/>
    <w:rsid w:val="0081463C"/>
    <w:rsid w:val="00826955"/>
    <w:rsid w:val="008304D6"/>
    <w:rsid w:val="00830962"/>
    <w:rsid w:val="00830F37"/>
    <w:rsid w:val="008328C5"/>
    <w:rsid w:val="00832C3E"/>
    <w:rsid w:val="008361F2"/>
    <w:rsid w:val="00843205"/>
    <w:rsid w:val="008446D9"/>
    <w:rsid w:val="008463DA"/>
    <w:rsid w:val="00847725"/>
    <w:rsid w:val="00875F90"/>
    <w:rsid w:val="00884DE2"/>
    <w:rsid w:val="00887190"/>
    <w:rsid w:val="00894F3F"/>
    <w:rsid w:val="00896DCF"/>
    <w:rsid w:val="008A4E22"/>
    <w:rsid w:val="008A74A3"/>
    <w:rsid w:val="008B5363"/>
    <w:rsid w:val="008B75BA"/>
    <w:rsid w:val="008D46AF"/>
    <w:rsid w:val="009020F9"/>
    <w:rsid w:val="00903864"/>
    <w:rsid w:val="00912909"/>
    <w:rsid w:val="00912B3D"/>
    <w:rsid w:val="00912C49"/>
    <w:rsid w:val="00914207"/>
    <w:rsid w:val="009158BF"/>
    <w:rsid w:val="009164B1"/>
    <w:rsid w:val="00916784"/>
    <w:rsid w:val="0093076C"/>
    <w:rsid w:val="009309DC"/>
    <w:rsid w:val="009322C4"/>
    <w:rsid w:val="00932776"/>
    <w:rsid w:val="00943B5C"/>
    <w:rsid w:val="00947064"/>
    <w:rsid w:val="00952F15"/>
    <w:rsid w:val="00956E5A"/>
    <w:rsid w:val="00962145"/>
    <w:rsid w:val="00962581"/>
    <w:rsid w:val="00963EA0"/>
    <w:rsid w:val="00964102"/>
    <w:rsid w:val="00975A69"/>
    <w:rsid w:val="0097725C"/>
    <w:rsid w:val="00977E5D"/>
    <w:rsid w:val="0098024D"/>
    <w:rsid w:val="00991D1A"/>
    <w:rsid w:val="009925F2"/>
    <w:rsid w:val="009A37BD"/>
    <w:rsid w:val="009B4293"/>
    <w:rsid w:val="009C140A"/>
    <w:rsid w:val="009C71EF"/>
    <w:rsid w:val="009D1F48"/>
    <w:rsid w:val="009D2ECC"/>
    <w:rsid w:val="009E2548"/>
    <w:rsid w:val="009E462D"/>
    <w:rsid w:val="009F2994"/>
    <w:rsid w:val="009F517B"/>
    <w:rsid w:val="009F79CF"/>
    <w:rsid w:val="009F7FE6"/>
    <w:rsid w:val="00A00ED7"/>
    <w:rsid w:val="00A0563F"/>
    <w:rsid w:val="00A117F4"/>
    <w:rsid w:val="00A156D0"/>
    <w:rsid w:val="00A3080D"/>
    <w:rsid w:val="00A33D2F"/>
    <w:rsid w:val="00A40FE2"/>
    <w:rsid w:val="00A42D58"/>
    <w:rsid w:val="00A43F32"/>
    <w:rsid w:val="00A45F25"/>
    <w:rsid w:val="00A47089"/>
    <w:rsid w:val="00A60AAB"/>
    <w:rsid w:val="00A664D9"/>
    <w:rsid w:val="00A67B8E"/>
    <w:rsid w:val="00A741EE"/>
    <w:rsid w:val="00A7459A"/>
    <w:rsid w:val="00A74A50"/>
    <w:rsid w:val="00A768E2"/>
    <w:rsid w:val="00A85426"/>
    <w:rsid w:val="00A86BEE"/>
    <w:rsid w:val="00A9583B"/>
    <w:rsid w:val="00AB57A6"/>
    <w:rsid w:val="00AB738D"/>
    <w:rsid w:val="00AC3516"/>
    <w:rsid w:val="00AC641A"/>
    <w:rsid w:val="00AD2C75"/>
    <w:rsid w:val="00AE13BB"/>
    <w:rsid w:val="00AE153A"/>
    <w:rsid w:val="00AE4CDF"/>
    <w:rsid w:val="00AE4E8D"/>
    <w:rsid w:val="00AE66A3"/>
    <w:rsid w:val="00AF4E16"/>
    <w:rsid w:val="00AF5D81"/>
    <w:rsid w:val="00B04BB2"/>
    <w:rsid w:val="00B14B7D"/>
    <w:rsid w:val="00B26B95"/>
    <w:rsid w:val="00B309AE"/>
    <w:rsid w:val="00B32948"/>
    <w:rsid w:val="00B341D9"/>
    <w:rsid w:val="00B530F4"/>
    <w:rsid w:val="00B53C51"/>
    <w:rsid w:val="00B5562A"/>
    <w:rsid w:val="00B57D45"/>
    <w:rsid w:val="00B6498E"/>
    <w:rsid w:val="00B65875"/>
    <w:rsid w:val="00B67E90"/>
    <w:rsid w:val="00B67FC0"/>
    <w:rsid w:val="00B711FE"/>
    <w:rsid w:val="00B728D3"/>
    <w:rsid w:val="00B73D88"/>
    <w:rsid w:val="00B74FB9"/>
    <w:rsid w:val="00B7608D"/>
    <w:rsid w:val="00B77F84"/>
    <w:rsid w:val="00B80D42"/>
    <w:rsid w:val="00B90B7B"/>
    <w:rsid w:val="00B93476"/>
    <w:rsid w:val="00BA1931"/>
    <w:rsid w:val="00BA4D72"/>
    <w:rsid w:val="00BA7AED"/>
    <w:rsid w:val="00BC10EE"/>
    <w:rsid w:val="00BC1A98"/>
    <w:rsid w:val="00BC1C34"/>
    <w:rsid w:val="00BF232E"/>
    <w:rsid w:val="00BF348A"/>
    <w:rsid w:val="00BF5E08"/>
    <w:rsid w:val="00C0198E"/>
    <w:rsid w:val="00C03C66"/>
    <w:rsid w:val="00C10CAB"/>
    <w:rsid w:val="00C14606"/>
    <w:rsid w:val="00C164D3"/>
    <w:rsid w:val="00C16A44"/>
    <w:rsid w:val="00C215C9"/>
    <w:rsid w:val="00C22D4C"/>
    <w:rsid w:val="00C22FEE"/>
    <w:rsid w:val="00C26288"/>
    <w:rsid w:val="00C313DE"/>
    <w:rsid w:val="00C41A0A"/>
    <w:rsid w:val="00C475F8"/>
    <w:rsid w:val="00C55448"/>
    <w:rsid w:val="00C57321"/>
    <w:rsid w:val="00C57B16"/>
    <w:rsid w:val="00C604A3"/>
    <w:rsid w:val="00C63142"/>
    <w:rsid w:val="00C66ED4"/>
    <w:rsid w:val="00C706C5"/>
    <w:rsid w:val="00C74AB7"/>
    <w:rsid w:val="00C74B26"/>
    <w:rsid w:val="00C868B2"/>
    <w:rsid w:val="00C9528B"/>
    <w:rsid w:val="00C9587A"/>
    <w:rsid w:val="00CA3E0F"/>
    <w:rsid w:val="00CB4E72"/>
    <w:rsid w:val="00CB4EFE"/>
    <w:rsid w:val="00CE453D"/>
    <w:rsid w:val="00CE71DA"/>
    <w:rsid w:val="00D15848"/>
    <w:rsid w:val="00D25A36"/>
    <w:rsid w:val="00D31902"/>
    <w:rsid w:val="00D31AD9"/>
    <w:rsid w:val="00D3559C"/>
    <w:rsid w:val="00D46906"/>
    <w:rsid w:val="00D47FC6"/>
    <w:rsid w:val="00D50570"/>
    <w:rsid w:val="00D56679"/>
    <w:rsid w:val="00D57334"/>
    <w:rsid w:val="00D65A0E"/>
    <w:rsid w:val="00D6793F"/>
    <w:rsid w:val="00D76BA4"/>
    <w:rsid w:val="00D85992"/>
    <w:rsid w:val="00D9149F"/>
    <w:rsid w:val="00D932CB"/>
    <w:rsid w:val="00DB4130"/>
    <w:rsid w:val="00DB48AA"/>
    <w:rsid w:val="00DB6AE9"/>
    <w:rsid w:val="00DC2840"/>
    <w:rsid w:val="00DC4CC6"/>
    <w:rsid w:val="00DC638D"/>
    <w:rsid w:val="00DC6D2E"/>
    <w:rsid w:val="00DD5511"/>
    <w:rsid w:val="00DD789B"/>
    <w:rsid w:val="00DE2718"/>
    <w:rsid w:val="00DF5076"/>
    <w:rsid w:val="00DF6CAC"/>
    <w:rsid w:val="00E00396"/>
    <w:rsid w:val="00E00D74"/>
    <w:rsid w:val="00E04B7C"/>
    <w:rsid w:val="00E14A78"/>
    <w:rsid w:val="00E270E4"/>
    <w:rsid w:val="00E3011F"/>
    <w:rsid w:val="00E358E6"/>
    <w:rsid w:val="00E3788F"/>
    <w:rsid w:val="00E43BB6"/>
    <w:rsid w:val="00E44FA2"/>
    <w:rsid w:val="00E513E0"/>
    <w:rsid w:val="00E537ED"/>
    <w:rsid w:val="00E63431"/>
    <w:rsid w:val="00E66A47"/>
    <w:rsid w:val="00E74784"/>
    <w:rsid w:val="00E7575D"/>
    <w:rsid w:val="00E81B4E"/>
    <w:rsid w:val="00E82B42"/>
    <w:rsid w:val="00E85F59"/>
    <w:rsid w:val="00E87D57"/>
    <w:rsid w:val="00E91EC0"/>
    <w:rsid w:val="00E920CB"/>
    <w:rsid w:val="00E950A5"/>
    <w:rsid w:val="00EA2F9B"/>
    <w:rsid w:val="00EA3EE6"/>
    <w:rsid w:val="00EA5E84"/>
    <w:rsid w:val="00EB15E0"/>
    <w:rsid w:val="00EB23AB"/>
    <w:rsid w:val="00EB6F8D"/>
    <w:rsid w:val="00EC43AF"/>
    <w:rsid w:val="00ED2F03"/>
    <w:rsid w:val="00ED40FA"/>
    <w:rsid w:val="00EE7283"/>
    <w:rsid w:val="00EF0DAF"/>
    <w:rsid w:val="00EF0E90"/>
    <w:rsid w:val="00EF2E1B"/>
    <w:rsid w:val="00EF4040"/>
    <w:rsid w:val="00EF4994"/>
    <w:rsid w:val="00EF5844"/>
    <w:rsid w:val="00EF597B"/>
    <w:rsid w:val="00EF680E"/>
    <w:rsid w:val="00EF6A8F"/>
    <w:rsid w:val="00EF6D50"/>
    <w:rsid w:val="00EF7652"/>
    <w:rsid w:val="00EF7B08"/>
    <w:rsid w:val="00F0450C"/>
    <w:rsid w:val="00F04CC9"/>
    <w:rsid w:val="00F07D0D"/>
    <w:rsid w:val="00F07F86"/>
    <w:rsid w:val="00F1504F"/>
    <w:rsid w:val="00F2172A"/>
    <w:rsid w:val="00F23152"/>
    <w:rsid w:val="00F25791"/>
    <w:rsid w:val="00F32878"/>
    <w:rsid w:val="00F37E39"/>
    <w:rsid w:val="00F42FE6"/>
    <w:rsid w:val="00F43D38"/>
    <w:rsid w:val="00F47145"/>
    <w:rsid w:val="00F5592F"/>
    <w:rsid w:val="00F572F5"/>
    <w:rsid w:val="00F633CB"/>
    <w:rsid w:val="00F72BA6"/>
    <w:rsid w:val="00F73FBA"/>
    <w:rsid w:val="00F81810"/>
    <w:rsid w:val="00F90BEE"/>
    <w:rsid w:val="00F910A1"/>
    <w:rsid w:val="00F95049"/>
    <w:rsid w:val="00F9746B"/>
    <w:rsid w:val="00FA66DF"/>
    <w:rsid w:val="00FA7FAA"/>
    <w:rsid w:val="00FB242A"/>
    <w:rsid w:val="00FB737C"/>
    <w:rsid w:val="00FC1F49"/>
    <w:rsid w:val="00FC226C"/>
    <w:rsid w:val="00FC2569"/>
    <w:rsid w:val="00FD34EE"/>
    <w:rsid w:val="00FD796E"/>
    <w:rsid w:val="00FE016B"/>
    <w:rsid w:val="00FE41BD"/>
    <w:rsid w:val="00FE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9069"/>
  <w15:chartTrackingRefBased/>
  <w15:docId w15:val="{A2B8228C-318B-46AC-BD7F-0F19CA73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97E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66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848"/>
    <w:pPr>
      <w:ind w:left="720"/>
      <w:contextualSpacing/>
    </w:pPr>
  </w:style>
  <w:style w:type="paragraph" w:customStyle="1" w:styleId="Default">
    <w:name w:val="Default"/>
    <w:rsid w:val="00735B3F"/>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er1">
    <w:name w:val="Header1"/>
    <w:basedOn w:val="DefaultParagraphFont"/>
    <w:rsid w:val="00735B3F"/>
  </w:style>
  <w:style w:type="paragraph" w:styleId="NormalWeb">
    <w:name w:val="Normal (Web)"/>
    <w:basedOn w:val="Normal"/>
    <w:uiPriority w:val="99"/>
    <w:unhideWhenUsed/>
    <w:rsid w:val="00605550"/>
    <w:pPr>
      <w:spacing w:before="100" w:beforeAutospacing="1" w:after="100" w:afterAutospacing="1"/>
    </w:pPr>
  </w:style>
  <w:style w:type="character" w:customStyle="1" w:styleId="Heading3Char">
    <w:name w:val="Heading 3 Char"/>
    <w:basedOn w:val="DefaultParagraphFont"/>
    <w:link w:val="Heading3"/>
    <w:uiPriority w:val="9"/>
    <w:rsid w:val="00B93476"/>
    <w:rPr>
      <w:rFonts w:asciiTheme="majorHAnsi" w:eastAsiaTheme="majorEastAsia" w:hAnsiTheme="majorHAnsi" w:cstheme="majorBidi"/>
      <w:color w:val="1F4D78" w:themeColor="accent1" w:themeShade="7F"/>
      <w:sz w:val="24"/>
      <w:szCs w:val="24"/>
      <w:lang w:eastAsia="en-GB"/>
    </w:rPr>
  </w:style>
  <w:style w:type="character" w:customStyle="1" w:styleId="apple-converted-space">
    <w:name w:val="apple-converted-space"/>
    <w:basedOn w:val="DefaultParagraphFont"/>
    <w:rsid w:val="00B93476"/>
  </w:style>
  <w:style w:type="character" w:styleId="Hyperlink">
    <w:name w:val="Hyperlink"/>
    <w:basedOn w:val="DefaultParagraphFont"/>
    <w:uiPriority w:val="99"/>
    <w:unhideWhenUsed/>
    <w:rsid w:val="00B93476"/>
    <w:rPr>
      <w:color w:val="0000FF"/>
      <w:u w:val="single"/>
    </w:rPr>
  </w:style>
  <w:style w:type="character" w:styleId="Emphasis">
    <w:name w:val="Emphasis"/>
    <w:basedOn w:val="DefaultParagraphFont"/>
    <w:uiPriority w:val="20"/>
    <w:qFormat/>
    <w:rsid w:val="00B93476"/>
    <w:rPr>
      <w:i/>
      <w:iCs/>
    </w:rPr>
  </w:style>
  <w:style w:type="character" w:customStyle="1" w:styleId="Heading2Char">
    <w:name w:val="Heading 2 Char"/>
    <w:basedOn w:val="DefaultParagraphFont"/>
    <w:link w:val="Heading2"/>
    <w:uiPriority w:val="9"/>
    <w:semiHidden/>
    <w:rsid w:val="00D56679"/>
    <w:rPr>
      <w:rFonts w:asciiTheme="majorHAnsi" w:eastAsiaTheme="majorEastAsia" w:hAnsiTheme="majorHAnsi" w:cstheme="majorBidi"/>
      <w:color w:val="2E74B5" w:themeColor="accent1" w:themeShade="BF"/>
      <w:sz w:val="26"/>
      <w:szCs w:val="26"/>
      <w:lang w:eastAsia="en-GB"/>
    </w:rPr>
  </w:style>
  <w:style w:type="paragraph" w:styleId="FootnoteText">
    <w:name w:val="footnote text"/>
    <w:basedOn w:val="Normal"/>
    <w:link w:val="FootnoteTextChar"/>
    <w:uiPriority w:val="99"/>
    <w:unhideWhenUsed/>
    <w:rsid w:val="00C22D4C"/>
    <w:rPr>
      <w:sz w:val="20"/>
      <w:szCs w:val="20"/>
    </w:rPr>
  </w:style>
  <w:style w:type="character" w:customStyle="1" w:styleId="FootnoteTextChar">
    <w:name w:val="Footnote Text Char"/>
    <w:basedOn w:val="DefaultParagraphFont"/>
    <w:link w:val="FootnoteText"/>
    <w:uiPriority w:val="99"/>
    <w:rsid w:val="00C22D4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22D4C"/>
    <w:rPr>
      <w:vertAlign w:val="superscript"/>
    </w:rPr>
  </w:style>
  <w:style w:type="paragraph" w:styleId="Header">
    <w:name w:val="header"/>
    <w:basedOn w:val="Normal"/>
    <w:link w:val="HeaderChar"/>
    <w:uiPriority w:val="99"/>
    <w:unhideWhenUsed/>
    <w:rsid w:val="000D0A07"/>
    <w:pPr>
      <w:tabs>
        <w:tab w:val="center" w:pos="4513"/>
        <w:tab w:val="right" w:pos="9026"/>
      </w:tabs>
    </w:pPr>
  </w:style>
  <w:style w:type="character" w:customStyle="1" w:styleId="HeaderChar">
    <w:name w:val="Header Char"/>
    <w:basedOn w:val="DefaultParagraphFont"/>
    <w:link w:val="Header"/>
    <w:uiPriority w:val="99"/>
    <w:rsid w:val="000D0A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0A07"/>
    <w:pPr>
      <w:tabs>
        <w:tab w:val="center" w:pos="4513"/>
        <w:tab w:val="right" w:pos="9026"/>
      </w:tabs>
    </w:pPr>
  </w:style>
  <w:style w:type="character" w:customStyle="1" w:styleId="FooterChar">
    <w:name w:val="Footer Char"/>
    <w:basedOn w:val="DefaultParagraphFont"/>
    <w:link w:val="Footer"/>
    <w:uiPriority w:val="99"/>
    <w:rsid w:val="000D0A0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7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6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94F3F"/>
    <w:rPr>
      <w:sz w:val="16"/>
      <w:szCs w:val="16"/>
    </w:rPr>
  </w:style>
  <w:style w:type="paragraph" w:styleId="CommentText">
    <w:name w:val="annotation text"/>
    <w:basedOn w:val="Normal"/>
    <w:link w:val="CommentTextChar"/>
    <w:uiPriority w:val="99"/>
    <w:semiHidden/>
    <w:unhideWhenUsed/>
    <w:rsid w:val="00894F3F"/>
    <w:rPr>
      <w:sz w:val="20"/>
      <w:szCs w:val="20"/>
    </w:rPr>
  </w:style>
  <w:style w:type="character" w:customStyle="1" w:styleId="CommentTextChar">
    <w:name w:val="Comment Text Char"/>
    <w:basedOn w:val="DefaultParagraphFont"/>
    <w:link w:val="CommentText"/>
    <w:uiPriority w:val="99"/>
    <w:semiHidden/>
    <w:rsid w:val="00894F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4F3F"/>
    <w:rPr>
      <w:b/>
      <w:bCs/>
    </w:rPr>
  </w:style>
  <w:style w:type="character" w:customStyle="1" w:styleId="CommentSubjectChar">
    <w:name w:val="Comment Subject Char"/>
    <w:basedOn w:val="CommentTextChar"/>
    <w:link w:val="CommentSubject"/>
    <w:uiPriority w:val="99"/>
    <w:semiHidden/>
    <w:rsid w:val="00894F3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C74F6"/>
    <w:rPr>
      <w:color w:val="954F72" w:themeColor="followedHyperlink"/>
      <w:u w:val="single"/>
    </w:rPr>
  </w:style>
  <w:style w:type="character" w:customStyle="1" w:styleId="Heading1Char">
    <w:name w:val="Heading 1 Char"/>
    <w:basedOn w:val="DefaultParagraphFont"/>
    <w:link w:val="Heading1"/>
    <w:uiPriority w:val="9"/>
    <w:rsid w:val="00497E3D"/>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599">
      <w:bodyDiv w:val="1"/>
      <w:marLeft w:val="0"/>
      <w:marRight w:val="0"/>
      <w:marTop w:val="0"/>
      <w:marBottom w:val="0"/>
      <w:divBdr>
        <w:top w:val="none" w:sz="0" w:space="0" w:color="auto"/>
        <w:left w:val="none" w:sz="0" w:space="0" w:color="auto"/>
        <w:bottom w:val="none" w:sz="0" w:space="0" w:color="auto"/>
        <w:right w:val="none" w:sz="0" w:space="0" w:color="auto"/>
      </w:divBdr>
    </w:div>
    <w:div w:id="85735361">
      <w:bodyDiv w:val="1"/>
      <w:marLeft w:val="0"/>
      <w:marRight w:val="0"/>
      <w:marTop w:val="0"/>
      <w:marBottom w:val="0"/>
      <w:divBdr>
        <w:top w:val="none" w:sz="0" w:space="0" w:color="auto"/>
        <w:left w:val="none" w:sz="0" w:space="0" w:color="auto"/>
        <w:bottom w:val="none" w:sz="0" w:space="0" w:color="auto"/>
        <w:right w:val="none" w:sz="0" w:space="0" w:color="auto"/>
      </w:divBdr>
    </w:div>
    <w:div w:id="107161555">
      <w:bodyDiv w:val="1"/>
      <w:marLeft w:val="0"/>
      <w:marRight w:val="0"/>
      <w:marTop w:val="0"/>
      <w:marBottom w:val="0"/>
      <w:divBdr>
        <w:top w:val="none" w:sz="0" w:space="0" w:color="auto"/>
        <w:left w:val="none" w:sz="0" w:space="0" w:color="auto"/>
        <w:bottom w:val="none" w:sz="0" w:space="0" w:color="auto"/>
        <w:right w:val="none" w:sz="0" w:space="0" w:color="auto"/>
      </w:divBdr>
    </w:div>
    <w:div w:id="182942401">
      <w:bodyDiv w:val="1"/>
      <w:marLeft w:val="0"/>
      <w:marRight w:val="0"/>
      <w:marTop w:val="0"/>
      <w:marBottom w:val="0"/>
      <w:divBdr>
        <w:top w:val="none" w:sz="0" w:space="0" w:color="auto"/>
        <w:left w:val="none" w:sz="0" w:space="0" w:color="auto"/>
        <w:bottom w:val="none" w:sz="0" w:space="0" w:color="auto"/>
        <w:right w:val="none" w:sz="0" w:space="0" w:color="auto"/>
      </w:divBdr>
    </w:div>
    <w:div w:id="223108220">
      <w:bodyDiv w:val="1"/>
      <w:marLeft w:val="0"/>
      <w:marRight w:val="0"/>
      <w:marTop w:val="0"/>
      <w:marBottom w:val="0"/>
      <w:divBdr>
        <w:top w:val="none" w:sz="0" w:space="0" w:color="auto"/>
        <w:left w:val="none" w:sz="0" w:space="0" w:color="auto"/>
        <w:bottom w:val="none" w:sz="0" w:space="0" w:color="auto"/>
        <w:right w:val="none" w:sz="0" w:space="0" w:color="auto"/>
      </w:divBdr>
    </w:div>
    <w:div w:id="275523306">
      <w:bodyDiv w:val="1"/>
      <w:marLeft w:val="0"/>
      <w:marRight w:val="0"/>
      <w:marTop w:val="0"/>
      <w:marBottom w:val="0"/>
      <w:divBdr>
        <w:top w:val="none" w:sz="0" w:space="0" w:color="auto"/>
        <w:left w:val="none" w:sz="0" w:space="0" w:color="auto"/>
        <w:bottom w:val="none" w:sz="0" w:space="0" w:color="auto"/>
        <w:right w:val="none" w:sz="0" w:space="0" w:color="auto"/>
      </w:divBdr>
    </w:div>
    <w:div w:id="317660826">
      <w:bodyDiv w:val="1"/>
      <w:marLeft w:val="0"/>
      <w:marRight w:val="0"/>
      <w:marTop w:val="0"/>
      <w:marBottom w:val="0"/>
      <w:divBdr>
        <w:top w:val="none" w:sz="0" w:space="0" w:color="auto"/>
        <w:left w:val="none" w:sz="0" w:space="0" w:color="auto"/>
        <w:bottom w:val="none" w:sz="0" w:space="0" w:color="auto"/>
        <w:right w:val="none" w:sz="0" w:space="0" w:color="auto"/>
      </w:divBdr>
    </w:div>
    <w:div w:id="469136287">
      <w:bodyDiv w:val="1"/>
      <w:marLeft w:val="0"/>
      <w:marRight w:val="0"/>
      <w:marTop w:val="0"/>
      <w:marBottom w:val="0"/>
      <w:divBdr>
        <w:top w:val="none" w:sz="0" w:space="0" w:color="auto"/>
        <w:left w:val="none" w:sz="0" w:space="0" w:color="auto"/>
        <w:bottom w:val="none" w:sz="0" w:space="0" w:color="auto"/>
        <w:right w:val="none" w:sz="0" w:space="0" w:color="auto"/>
      </w:divBdr>
    </w:div>
    <w:div w:id="514659712">
      <w:bodyDiv w:val="1"/>
      <w:marLeft w:val="0"/>
      <w:marRight w:val="0"/>
      <w:marTop w:val="0"/>
      <w:marBottom w:val="0"/>
      <w:divBdr>
        <w:top w:val="none" w:sz="0" w:space="0" w:color="auto"/>
        <w:left w:val="none" w:sz="0" w:space="0" w:color="auto"/>
        <w:bottom w:val="none" w:sz="0" w:space="0" w:color="auto"/>
        <w:right w:val="none" w:sz="0" w:space="0" w:color="auto"/>
      </w:divBdr>
    </w:div>
    <w:div w:id="650523714">
      <w:bodyDiv w:val="1"/>
      <w:marLeft w:val="0"/>
      <w:marRight w:val="0"/>
      <w:marTop w:val="0"/>
      <w:marBottom w:val="0"/>
      <w:divBdr>
        <w:top w:val="none" w:sz="0" w:space="0" w:color="auto"/>
        <w:left w:val="none" w:sz="0" w:space="0" w:color="auto"/>
        <w:bottom w:val="none" w:sz="0" w:space="0" w:color="auto"/>
        <w:right w:val="none" w:sz="0" w:space="0" w:color="auto"/>
      </w:divBdr>
    </w:div>
    <w:div w:id="920673251">
      <w:bodyDiv w:val="1"/>
      <w:marLeft w:val="0"/>
      <w:marRight w:val="0"/>
      <w:marTop w:val="0"/>
      <w:marBottom w:val="0"/>
      <w:divBdr>
        <w:top w:val="none" w:sz="0" w:space="0" w:color="auto"/>
        <w:left w:val="none" w:sz="0" w:space="0" w:color="auto"/>
        <w:bottom w:val="none" w:sz="0" w:space="0" w:color="auto"/>
        <w:right w:val="none" w:sz="0" w:space="0" w:color="auto"/>
      </w:divBdr>
      <w:divsChild>
        <w:div w:id="1015837862">
          <w:marLeft w:val="0"/>
          <w:marRight w:val="0"/>
          <w:marTop w:val="0"/>
          <w:marBottom w:val="0"/>
          <w:divBdr>
            <w:top w:val="none" w:sz="0" w:space="0" w:color="auto"/>
            <w:left w:val="none" w:sz="0" w:space="0" w:color="auto"/>
            <w:bottom w:val="none" w:sz="0" w:space="0" w:color="auto"/>
            <w:right w:val="none" w:sz="0" w:space="0" w:color="auto"/>
          </w:divBdr>
          <w:divsChild>
            <w:div w:id="168981537">
              <w:marLeft w:val="0"/>
              <w:marRight w:val="0"/>
              <w:marTop w:val="0"/>
              <w:marBottom w:val="0"/>
              <w:divBdr>
                <w:top w:val="none" w:sz="0" w:space="0" w:color="auto"/>
                <w:left w:val="none" w:sz="0" w:space="0" w:color="auto"/>
                <w:bottom w:val="none" w:sz="0" w:space="0" w:color="auto"/>
                <w:right w:val="none" w:sz="0" w:space="0" w:color="auto"/>
              </w:divBdr>
              <w:divsChild>
                <w:div w:id="118501700">
                  <w:marLeft w:val="0"/>
                  <w:marRight w:val="0"/>
                  <w:marTop w:val="0"/>
                  <w:marBottom w:val="0"/>
                  <w:divBdr>
                    <w:top w:val="none" w:sz="0" w:space="0" w:color="auto"/>
                    <w:left w:val="none" w:sz="0" w:space="0" w:color="auto"/>
                    <w:bottom w:val="none" w:sz="0" w:space="0" w:color="auto"/>
                    <w:right w:val="none" w:sz="0" w:space="0" w:color="auto"/>
                  </w:divBdr>
                  <w:divsChild>
                    <w:div w:id="834951011">
                      <w:marLeft w:val="0"/>
                      <w:marRight w:val="0"/>
                      <w:marTop w:val="0"/>
                      <w:marBottom w:val="0"/>
                      <w:divBdr>
                        <w:top w:val="none" w:sz="0" w:space="0" w:color="auto"/>
                        <w:left w:val="none" w:sz="0" w:space="0" w:color="auto"/>
                        <w:bottom w:val="none" w:sz="0" w:space="0" w:color="auto"/>
                        <w:right w:val="none" w:sz="0" w:space="0" w:color="auto"/>
                      </w:divBdr>
                      <w:divsChild>
                        <w:div w:id="7812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4974">
      <w:bodyDiv w:val="1"/>
      <w:marLeft w:val="0"/>
      <w:marRight w:val="0"/>
      <w:marTop w:val="0"/>
      <w:marBottom w:val="0"/>
      <w:divBdr>
        <w:top w:val="none" w:sz="0" w:space="0" w:color="auto"/>
        <w:left w:val="none" w:sz="0" w:space="0" w:color="auto"/>
        <w:bottom w:val="none" w:sz="0" w:space="0" w:color="auto"/>
        <w:right w:val="none" w:sz="0" w:space="0" w:color="auto"/>
      </w:divBdr>
    </w:div>
    <w:div w:id="927885396">
      <w:bodyDiv w:val="1"/>
      <w:marLeft w:val="0"/>
      <w:marRight w:val="0"/>
      <w:marTop w:val="0"/>
      <w:marBottom w:val="0"/>
      <w:divBdr>
        <w:top w:val="none" w:sz="0" w:space="0" w:color="auto"/>
        <w:left w:val="none" w:sz="0" w:space="0" w:color="auto"/>
        <w:bottom w:val="none" w:sz="0" w:space="0" w:color="auto"/>
        <w:right w:val="none" w:sz="0" w:space="0" w:color="auto"/>
      </w:divBdr>
    </w:div>
    <w:div w:id="1085571041">
      <w:bodyDiv w:val="1"/>
      <w:marLeft w:val="0"/>
      <w:marRight w:val="0"/>
      <w:marTop w:val="0"/>
      <w:marBottom w:val="0"/>
      <w:divBdr>
        <w:top w:val="none" w:sz="0" w:space="0" w:color="auto"/>
        <w:left w:val="none" w:sz="0" w:space="0" w:color="auto"/>
        <w:bottom w:val="none" w:sz="0" w:space="0" w:color="auto"/>
        <w:right w:val="none" w:sz="0" w:space="0" w:color="auto"/>
      </w:divBdr>
      <w:divsChild>
        <w:div w:id="533470178">
          <w:marLeft w:val="0"/>
          <w:marRight w:val="0"/>
          <w:marTop w:val="0"/>
          <w:marBottom w:val="0"/>
          <w:divBdr>
            <w:top w:val="none" w:sz="0" w:space="0" w:color="auto"/>
            <w:left w:val="none" w:sz="0" w:space="0" w:color="auto"/>
            <w:bottom w:val="none" w:sz="0" w:space="0" w:color="auto"/>
            <w:right w:val="none" w:sz="0" w:space="0" w:color="auto"/>
          </w:divBdr>
          <w:divsChild>
            <w:div w:id="369689928">
              <w:marLeft w:val="0"/>
              <w:marRight w:val="0"/>
              <w:marTop w:val="0"/>
              <w:marBottom w:val="0"/>
              <w:divBdr>
                <w:top w:val="none" w:sz="0" w:space="0" w:color="auto"/>
                <w:left w:val="none" w:sz="0" w:space="0" w:color="auto"/>
                <w:bottom w:val="none" w:sz="0" w:space="0" w:color="auto"/>
                <w:right w:val="none" w:sz="0" w:space="0" w:color="auto"/>
              </w:divBdr>
              <w:divsChild>
                <w:div w:id="1622608834">
                  <w:marLeft w:val="0"/>
                  <w:marRight w:val="0"/>
                  <w:marTop w:val="0"/>
                  <w:marBottom w:val="0"/>
                  <w:divBdr>
                    <w:top w:val="none" w:sz="0" w:space="0" w:color="auto"/>
                    <w:left w:val="none" w:sz="0" w:space="0" w:color="auto"/>
                    <w:bottom w:val="none" w:sz="0" w:space="0" w:color="auto"/>
                    <w:right w:val="none" w:sz="0" w:space="0" w:color="auto"/>
                  </w:divBdr>
                  <w:divsChild>
                    <w:div w:id="1731267684">
                      <w:marLeft w:val="0"/>
                      <w:marRight w:val="0"/>
                      <w:marTop w:val="0"/>
                      <w:marBottom w:val="0"/>
                      <w:divBdr>
                        <w:top w:val="none" w:sz="0" w:space="0" w:color="auto"/>
                        <w:left w:val="none" w:sz="0" w:space="0" w:color="auto"/>
                        <w:bottom w:val="none" w:sz="0" w:space="0" w:color="auto"/>
                        <w:right w:val="none" w:sz="0" w:space="0" w:color="auto"/>
                      </w:divBdr>
                      <w:divsChild>
                        <w:div w:id="81672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633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647037">
      <w:bodyDiv w:val="1"/>
      <w:marLeft w:val="0"/>
      <w:marRight w:val="0"/>
      <w:marTop w:val="0"/>
      <w:marBottom w:val="0"/>
      <w:divBdr>
        <w:top w:val="none" w:sz="0" w:space="0" w:color="auto"/>
        <w:left w:val="none" w:sz="0" w:space="0" w:color="auto"/>
        <w:bottom w:val="none" w:sz="0" w:space="0" w:color="auto"/>
        <w:right w:val="none" w:sz="0" w:space="0" w:color="auto"/>
      </w:divBdr>
    </w:div>
    <w:div w:id="1128283171">
      <w:bodyDiv w:val="1"/>
      <w:marLeft w:val="0"/>
      <w:marRight w:val="0"/>
      <w:marTop w:val="0"/>
      <w:marBottom w:val="0"/>
      <w:divBdr>
        <w:top w:val="none" w:sz="0" w:space="0" w:color="auto"/>
        <w:left w:val="none" w:sz="0" w:space="0" w:color="auto"/>
        <w:bottom w:val="none" w:sz="0" w:space="0" w:color="auto"/>
        <w:right w:val="none" w:sz="0" w:space="0" w:color="auto"/>
      </w:divBdr>
    </w:div>
    <w:div w:id="1157578694">
      <w:bodyDiv w:val="1"/>
      <w:marLeft w:val="0"/>
      <w:marRight w:val="0"/>
      <w:marTop w:val="0"/>
      <w:marBottom w:val="0"/>
      <w:divBdr>
        <w:top w:val="none" w:sz="0" w:space="0" w:color="auto"/>
        <w:left w:val="none" w:sz="0" w:space="0" w:color="auto"/>
        <w:bottom w:val="none" w:sz="0" w:space="0" w:color="auto"/>
        <w:right w:val="none" w:sz="0" w:space="0" w:color="auto"/>
      </w:divBdr>
    </w:div>
    <w:div w:id="1207064902">
      <w:bodyDiv w:val="1"/>
      <w:marLeft w:val="0"/>
      <w:marRight w:val="0"/>
      <w:marTop w:val="0"/>
      <w:marBottom w:val="0"/>
      <w:divBdr>
        <w:top w:val="none" w:sz="0" w:space="0" w:color="auto"/>
        <w:left w:val="none" w:sz="0" w:space="0" w:color="auto"/>
        <w:bottom w:val="none" w:sz="0" w:space="0" w:color="auto"/>
        <w:right w:val="none" w:sz="0" w:space="0" w:color="auto"/>
      </w:divBdr>
    </w:div>
    <w:div w:id="1247300427">
      <w:bodyDiv w:val="1"/>
      <w:marLeft w:val="0"/>
      <w:marRight w:val="0"/>
      <w:marTop w:val="0"/>
      <w:marBottom w:val="0"/>
      <w:divBdr>
        <w:top w:val="none" w:sz="0" w:space="0" w:color="auto"/>
        <w:left w:val="none" w:sz="0" w:space="0" w:color="auto"/>
        <w:bottom w:val="none" w:sz="0" w:space="0" w:color="auto"/>
        <w:right w:val="none" w:sz="0" w:space="0" w:color="auto"/>
      </w:divBdr>
    </w:div>
    <w:div w:id="1342472076">
      <w:bodyDiv w:val="1"/>
      <w:marLeft w:val="0"/>
      <w:marRight w:val="0"/>
      <w:marTop w:val="0"/>
      <w:marBottom w:val="0"/>
      <w:divBdr>
        <w:top w:val="none" w:sz="0" w:space="0" w:color="auto"/>
        <w:left w:val="none" w:sz="0" w:space="0" w:color="auto"/>
        <w:bottom w:val="none" w:sz="0" w:space="0" w:color="auto"/>
        <w:right w:val="none" w:sz="0" w:space="0" w:color="auto"/>
      </w:divBdr>
    </w:div>
    <w:div w:id="1349218573">
      <w:bodyDiv w:val="1"/>
      <w:marLeft w:val="0"/>
      <w:marRight w:val="0"/>
      <w:marTop w:val="0"/>
      <w:marBottom w:val="0"/>
      <w:divBdr>
        <w:top w:val="none" w:sz="0" w:space="0" w:color="auto"/>
        <w:left w:val="none" w:sz="0" w:space="0" w:color="auto"/>
        <w:bottom w:val="none" w:sz="0" w:space="0" w:color="auto"/>
        <w:right w:val="none" w:sz="0" w:space="0" w:color="auto"/>
      </w:divBdr>
    </w:div>
    <w:div w:id="1464078521">
      <w:bodyDiv w:val="1"/>
      <w:marLeft w:val="0"/>
      <w:marRight w:val="0"/>
      <w:marTop w:val="0"/>
      <w:marBottom w:val="0"/>
      <w:divBdr>
        <w:top w:val="none" w:sz="0" w:space="0" w:color="auto"/>
        <w:left w:val="none" w:sz="0" w:space="0" w:color="auto"/>
        <w:bottom w:val="none" w:sz="0" w:space="0" w:color="auto"/>
        <w:right w:val="none" w:sz="0" w:space="0" w:color="auto"/>
      </w:divBdr>
    </w:div>
    <w:div w:id="1486361914">
      <w:bodyDiv w:val="1"/>
      <w:marLeft w:val="0"/>
      <w:marRight w:val="0"/>
      <w:marTop w:val="0"/>
      <w:marBottom w:val="0"/>
      <w:divBdr>
        <w:top w:val="none" w:sz="0" w:space="0" w:color="auto"/>
        <w:left w:val="none" w:sz="0" w:space="0" w:color="auto"/>
        <w:bottom w:val="none" w:sz="0" w:space="0" w:color="auto"/>
        <w:right w:val="none" w:sz="0" w:space="0" w:color="auto"/>
      </w:divBdr>
    </w:div>
    <w:div w:id="1661688310">
      <w:bodyDiv w:val="1"/>
      <w:marLeft w:val="0"/>
      <w:marRight w:val="0"/>
      <w:marTop w:val="0"/>
      <w:marBottom w:val="0"/>
      <w:divBdr>
        <w:top w:val="none" w:sz="0" w:space="0" w:color="auto"/>
        <w:left w:val="none" w:sz="0" w:space="0" w:color="auto"/>
        <w:bottom w:val="none" w:sz="0" w:space="0" w:color="auto"/>
        <w:right w:val="none" w:sz="0" w:space="0" w:color="auto"/>
      </w:divBdr>
    </w:div>
    <w:div w:id="1780099658">
      <w:bodyDiv w:val="1"/>
      <w:marLeft w:val="0"/>
      <w:marRight w:val="0"/>
      <w:marTop w:val="0"/>
      <w:marBottom w:val="0"/>
      <w:divBdr>
        <w:top w:val="none" w:sz="0" w:space="0" w:color="auto"/>
        <w:left w:val="none" w:sz="0" w:space="0" w:color="auto"/>
        <w:bottom w:val="none" w:sz="0" w:space="0" w:color="auto"/>
        <w:right w:val="none" w:sz="0" w:space="0" w:color="auto"/>
      </w:divBdr>
    </w:div>
    <w:div w:id="1960452217">
      <w:bodyDiv w:val="1"/>
      <w:marLeft w:val="0"/>
      <w:marRight w:val="0"/>
      <w:marTop w:val="0"/>
      <w:marBottom w:val="0"/>
      <w:divBdr>
        <w:top w:val="none" w:sz="0" w:space="0" w:color="auto"/>
        <w:left w:val="none" w:sz="0" w:space="0" w:color="auto"/>
        <w:bottom w:val="none" w:sz="0" w:space="0" w:color="auto"/>
        <w:right w:val="none" w:sz="0" w:space="0" w:color="auto"/>
      </w:divBdr>
    </w:div>
    <w:div w:id="2000032395">
      <w:bodyDiv w:val="1"/>
      <w:marLeft w:val="0"/>
      <w:marRight w:val="0"/>
      <w:marTop w:val="0"/>
      <w:marBottom w:val="0"/>
      <w:divBdr>
        <w:top w:val="none" w:sz="0" w:space="0" w:color="auto"/>
        <w:left w:val="none" w:sz="0" w:space="0" w:color="auto"/>
        <w:bottom w:val="none" w:sz="0" w:space="0" w:color="auto"/>
        <w:right w:val="none" w:sz="0" w:space="0" w:color="auto"/>
      </w:divBdr>
    </w:div>
    <w:div w:id="2044286789">
      <w:bodyDiv w:val="1"/>
      <w:marLeft w:val="0"/>
      <w:marRight w:val="0"/>
      <w:marTop w:val="0"/>
      <w:marBottom w:val="0"/>
      <w:divBdr>
        <w:top w:val="none" w:sz="0" w:space="0" w:color="auto"/>
        <w:left w:val="none" w:sz="0" w:space="0" w:color="auto"/>
        <w:bottom w:val="none" w:sz="0" w:space="0" w:color="auto"/>
        <w:right w:val="none" w:sz="0" w:space="0" w:color="auto"/>
      </w:divBdr>
      <w:divsChild>
        <w:div w:id="1660036278">
          <w:marLeft w:val="0"/>
          <w:marRight w:val="0"/>
          <w:marTop w:val="0"/>
          <w:marBottom w:val="0"/>
          <w:divBdr>
            <w:top w:val="none" w:sz="0" w:space="0" w:color="auto"/>
            <w:left w:val="none" w:sz="0" w:space="0" w:color="auto"/>
            <w:bottom w:val="none" w:sz="0" w:space="0" w:color="auto"/>
            <w:right w:val="none" w:sz="0" w:space="0" w:color="auto"/>
          </w:divBdr>
          <w:divsChild>
            <w:div w:id="1123502631">
              <w:marLeft w:val="0"/>
              <w:marRight w:val="0"/>
              <w:marTop w:val="0"/>
              <w:marBottom w:val="0"/>
              <w:divBdr>
                <w:top w:val="none" w:sz="0" w:space="0" w:color="auto"/>
                <w:left w:val="none" w:sz="0" w:space="0" w:color="auto"/>
                <w:bottom w:val="none" w:sz="0" w:space="0" w:color="auto"/>
                <w:right w:val="none" w:sz="0" w:space="0" w:color="auto"/>
              </w:divBdr>
              <w:divsChild>
                <w:div w:id="565145259">
                  <w:marLeft w:val="0"/>
                  <w:marRight w:val="0"/>
                  <w:marTop w:val="0"/>
                  <w:marBottom w:val="0"/>
                  <w:divBdr>
                    <w:top w:val="none" w:sz="0" w:space="0" w:color="auto"/>
                    <w:left w:val="none" w:sz="0" w:space="0" w:color="auto"/>
                    <w:bottom w:val="none" w:sz="0" w:space="0" w:color="auto"/>
                    <w:right w:val="none" w:sz="0" w:space="0" w:color="auto"/>
                  </w:divBdr>
                  <w:divsChild>
                    <w:div w:id="1777286232">
                      <w:marLeft w:val="0"/>
                      <w:marRight w:val="0"/>
                      <w:marTop w:val="0"/>
                      <w:marBottom w:val="0"/>
                      <w:divBdr>
                        <w:top w:val="none" w:sz="0" w:space="0" w:color="auto"/>
                        <w:left w:val="none" w:sz="0" w:space="0" w:color="auto"/>
                        <w:bottom w:val="none" w:sz="0" w:space="0" w:color="auto"/>
                        <w:right w:val="none" w:sz="0" w:space="0" w:color="auto"/>
                      </w:divBdr>
                      <w:divsChild>
                        <w:div w:id="1314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0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uckland.ac.nz/assets/education/hattie/docs/relationship-between-research-and-teaching-(2004).pdf" TargetMode="External"/><Relationship Id="rId13" Type="http://schemas.openxmlformats.org/officeDocument/2006/relationships/hyperlink" Target="https://www.beds.ac.uk/__data/assets/pdf_file/0010/273772/Guide-9-A-Guide-to-Research-Informed-Teaching-and-Research-Informed-Learn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sellgroup.ac.uk/media/5048/4learning-in-a-research-intensive-environ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lamationsjournal.org/issue03_peter_osborn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e.ac.uk/intranet/LSEServices/TLC/Publication%20files/RLT-feature-within-TM-(amended-p.1)-FINAL.pdf" TargetMode="External"/><Relationship Id="rId4" Type="http://schemas.openxmlformats.org/officeDocument/2006/relationships/settings" Target="settings.xml"/><Relationship Id="rId9" Type="http://schemas.openxmlformats.org/officeDocument/2006/relationships/hyperlink" Target="http://wonkhe.com/blogs/the-tefs-first-assess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A203-FAEA-4C17-8D13-033A5762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Charles</dc:creator>
  <cp:keywords/>
  <dc:description/>
  <cp:lastModifiedBy>Matthew Charles</cp:lastModifiedBy>
  <cp:revision>3</cp:revision>
  <cp:lastPrinted>2016-09-14T09:53:00Z</cp:lastPrinted>
  <dcterms:created xsi:type="dcterms:W3CDTF">2017-01-11T11:59:00Z</dcterms:created>
  <dcterms:modified xsi:type="dcterms:W3CDTF">2017-01-13T17:07:00Z</dcterms:modified>
</cp:coreProperties>
</file>